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9CDCD">
      <w:pPr>
        <w:spacing w:beforeLines="50" w:afterLines="50" w:line="360" w:lineRule="auto"/>
        <w:jc w:val="center"/>
        <w:outlineLvl w:val="0"/>
        <w:rPr>
          <w:color w:val="FF0000"/>
        </w:rPr>
      </w:pPr>
      <w:r>
        <w:rPr>
          <w:rFonts w:hint="eastAsia"/>
          <w:b/>
          <w:bCs/>
          <w:sz w:val="28"/>
          <w:szCs w:val="28"/>
        </w:rPr>
        <w:t>广州医科大学附属第三医院黄埔院区灭治红白蚁、蚊子、蟑螂、苍蝇、老鼠、跳蚤服务采购需求</w:t>
      </w:r>
    </w:p>
    <w:p w14:paraId="55C78604">
      <w:pPr>
        <w:numPr>
          <w:ilvl w:val="0"/>
          <w:numId w:val="1"/>
        </w:numPr>
        <w:tabs>
          <w:tab w:val="left" w:pos="840"/>
        </w:tabs>
        <w:adjustRightInd/>
        <w:snapToGrid w:val="0"/>
        <w:spacing w:line="360" w:lineRule="auto"/>
        <w:ind w:firstLine="0"/>
        <w:textAlignment w:val="auto"/>
        <w:outlineLvl w:val="1"/>
        <w:rPr>
          <w:rFonts w:ascii="宋体" w:hAnsi="宋体"/>
          <w:b/>
          <w:kern w:val="2"/>
          <w:sz w:val="24"/>
        </w:rPr>
      </w:pPr>
      <w:r>
        <w:rPr>
          <w:rFonts w:hint="eastAsia" w:ascii="宋体" w:hAnsi="宋体"/>
          <w:b/>
          <w:kern w:val="2"/>
          <w:sz w:val="24"/>
        </w:rPr>
        <w:t>项目基本概况</w:t>
      </w:r>
    </w:p>
    <w:p w14:paraId="3719A332">
      <w:pPr>
        <w:pStyle w:val="2"/>
        <w:numPr>
          <w:ilvl w:val="0"/>
          <w:numId w:val="2"/>
        </w:numPr>
        <w:tabs>
          <w:tab w:val="left" w:pos="540"/>
          <w:tab w:val="left" w:pos="993"/>
        </w:tabs>
        <w:snapToGrid w:val="0"/>
        <w:spacing w:line="360" w:lineRule="auto"/>
        <w:rPr>
          <w:rFonts w:hAnsi="宋体"/>
          <w:sz w:val="24"/>
        </w:rPr>
      </w:pPr>
      <w:r>
        <w:rPr>
          <w:rFonts w:hAnsi="宋体"/>
          <w:sz w:val="24"/>
        </w:rPr>
        <w:t>服务范围</w:t>
      </w:r>
      <w:r>
        <w:rPr>
          <w:rFonts w:hint="eastAsia" w:hAnsi="宋体"/>
          <w:sz w:val="24"/>
        </w:rPr>
        <w:t>：</w:t>
      </w:r>
      <w:r>
        <w:rPr>
          <w:rFonts w:hint="eastAsia" w:hAnsi="宋体" w:cs="仿宋"/>
          <w:sz w:val="24"/>
        </w:rPr>
        <w:t>黄埔区长贤路55号</w:t>
      </w:r>
      <w:r>
        <w:rPr>
          <w:rFonts w:hint="eastAsia" w:hAnsi="宋体" w:cs="宋体"/>
          <w:sz w:val="24"/>
        </w:rPr>
        <w:t>采购人所属范围内所有的区域灭治红白蚁、蚊子、蟑螂、苍蝇、老鼠、跳蚤服务。</w:t>
      </w:r>
    </w:p>
    <w:p w14:paraId="0755149B">
      <w:pPr>
        <w:pStyle w:val="2"/>
        <w:numPr>
          <w:ilvl w:val="0"/>
          <w:numId w:val="2"/>
        </w:numPr>
        <w:tabs>
          <w:tab w:val="left" w:pos="540"/>
          <w:tab w:val="left" w:pos="993"/>
        </w:tabs>
        <w:snapToGrid w:val="0"/>
        <w:spacing w:line="360" w:lineRule="auto"/>
        <w:rPr>
          <w:rFonts w:hAnsi="宋体"/>
          <w:sz w:val="24"/>
        </w:rPr>
      </w:pPr>
      <w:r>
        <w:rPr>
          <w:rFonts w:hAnsi="宋体"/>
          <w:sz w:val="24"/>
        </w:rPr>
        <w:t>服务要求</w:t>
      </w:r>
      <w:r>
        <w:rPr>
          <w:rFonts w:hint="eastAsia" w:hAnsi="宋体"/>
          <w:sz w:val="24"/>
        </w:rPr>
        <w:t>：“除四害”服务按《广州市除四害管理规定》、《广东省爱国卫生工作条例》、《广州市灭鼠灭虫服务行业管理办法》及本项目合同的有关要求和标准，确保在服务当日“四害”消杀的效果，控制在达标范围内。</w:t>
      </w:r>
    </w:p>
    <w:p w14:paraId="09EAA90D">
      <w:pPr>
        <w:pStyle w:val="2"/>
        <w:numPr>
          <w:ilvl w:val="0"/>
          <w:numId w:val="2"/>
        </w:numPr>
        <w:tabs>
          <w:tab w:val="left" w:pos="993"/>
        </w:tabs>
        <w:snapToGrid w:val="0"/>
        <w:spacing w:line="360" w:lineRule="auto"/>
        <w:rPr>
          <w:rFonts w:hAnsi="宋体"/>
          <w:sz w:val="24"/>
          <w:szCs w:val="24"/>
        </w:rPr>
      </w:pPr>
      <w:r>
        <w:rPr>
          <w:rFonts w:hAnsi="宋体"/>
          <w:sz w:val="24"/>
        </w:rPr>
        <w:t>服务时间</w:t>
      </w:r>
      <w:r>
        <w:rPr>
          <w:rFonts w:hint="eastAsia" w:hAnsi="宋体"/>
          <w:sz w:val="24"/>
        </w:rPr>
        <w:t>（履行期限）：自合同签订之日起一年，或达到合同预计金额。若服务期限内结算金额达到合同金额，视作合同期结束，若服务期限到期，结算金额未达到合同金额，也视作合同期结束（以先到的为准）。</w:t>
      </w:r>
    </w:p>
    <w:p w14:paraId="04FBFAD9">
      <w:pPr>
        <w:pStyle w:val="2"/>
        <w:numPr>
          <w:ilvl w:val="0"/>
          <w:numId w:val="2"/>
        </w:numPr>
        <w:tabs>
          <w:tab w:val="left" w:pos="993"/>
        </w:tabs>
        <w:snapToGrid w:val="0"/>
        <w:spacing w:line="360" w:lineRule="auto"/>
        <w:rPr>
          <w:rFonts w:hAnsi="宋体"/>
          <w:sz w:val="24"/>
        </w:rPr>
      </w:pPr>
      <w:r>
        <w:rPr>
          <w:rFonts w:hAnsi="宋体"/>
          <w:sz w:val="24"/>
        </w:rPr>
        <w:t>服务标准</w:t>
      </w:r>
      <w:r>
        <w:rPr>
          <w:rFonts w:hint="eastAsia" w:hAnsi="宋体"/>
          <w:sz w:val="24"/>
        </w:rPr>
        <w:t>：每次作业完成后，中标人需将“灭治红白蚁”、“灭治蚊子”“灭治苍蝇”、“灭治老鼠”、“灭治蟑螂”服务记录表提供给采购人确认。岗位服务人员要严格遵守灭鼠杀虫防治技术操作规程文明作业，穿着统一工作服和佩戴工作证。中标人在为采购人提供服务工作中应严格遵守采购人的各项规章制度。</w:t>
      </w:r>
    </w:p>
    <w:p w14:paraId="51B3781B">
      <w:pPr>
        <w:numPr>
          <w:ilvl w:val="0"/>
          <w:numId w:val="1"/>
        </w:numPr>
        <w:tabs>
          <w:tab w:val="left" w:pos="840"/>
        </w:tabs>
        <w:adjustRightInd/>
        <w:snapToGrid w:val="0"/>
        <w:spacing w:line="360" w:lineRule="auto"/>
        <w:ind w:firstLine="0"/>
        <w:textAlignment w:val="auto"/>
        <w:outlineLvl w:val="1"/>
        <w:rPr>
          <w:rFonts w:ascii="宋体" w:hAnsi="宋体"/>
          <w:b/>
          <w:kern w:val="2"/>
          <w:sz w:val="24"/>
        </w:rPr>
      </w:pPr>
      <w:r>
        <w:rPr>
          <w:rFonts w:hint="eastAsia" w:ascii="宋体" w:hAnsi="宋体"/>
          <w:b/>
          <w:kern w:val="2"/>
          <w:sz w:val="24"/>
        </w:rPr>
        <w:t>项目一览表</w:t>
      </w:r>
    </w:p>
    <w:tbl>
      <w:tblPr>
        <w:tblStyle w:val="6"/>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848"/>
        <w:gridCol w:w="2305"/>
        <w:gridCol w:w="2257"/>
      </w:tblGrid>
      <w:tr w14:paraId="422D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48" w:type="dxa"/>
            <w:tcBorders>
              <w:top w:val="single" w:color="auto" w:sz="12" w:space="0"/>
            </w:tcBorders>
            <w:shd w:val="clear" w:color="auto" w:fill="EEECE1"/>
            <w:vAlign w:val="center"/>
          </w:tcPr>
          <w:p w14:paraId="54AA2DCC">
            <w:pPr>
              <w:snapToGrid w:val="0"/>
              <w:jc w:val="center"/>
              <w:rPr>
                <w:rFonts w:ascii="宋体"/>
                <w:b/>
                <w:sz w:val="24"/>
              </w:rPr>
            </w:pPr>
            <w:r>
              <w:rPr>
                <w:rFonts w:hint="eastAsia" w:ascii="宋体"/>
                <w:b/>
                <w:sz w:val="24"/>
              </w:rPr>
              <w:t>服务内容</w:t>
            </w:r>
          </w:p>
        </w:tc>
        <w:tc>
          <w:tcPr>
            <w:tcW w:w="848" w:type="dxa"/>
            <w:tcBorders>
              <w:top w:val="single" w:color="auto" w:sz="12" w:space="0"/>
            </w:tcBorders>
            <w:shd w:val="clear" w:color="auto" w:fill="EEECE1"/>
            <w:vAlign w:val="center"/>
          </w:tcPr>
          <w:p w14:paraId="2C04808F">
            <w:pPr>
              <w:snapToGrid w:val="0"/>
              <w:jc w:val="center"/>
              <w:rPr>
                <w:rFonts w:ascii="宋体"/>
                <w:b/>
                <w:sz w:val="24"/>
              </w:rPr>
            </w:pPr>
            <w:r>
              <w:rPr>
                <w:rFonts w:hint="eastAsia" w:ascii="宋体"/>
                <w:b/>
                <w:sz w:val="24"/>
              </w:rPr>
              <w:t>数量</w:t>
            </w:r>
          </w:p>
        </w:tc>
        <w:tc>
          <w:tcPr>
            <w:tcW w:w="2305" w:type="dxa"/>
            <w:tcBorders>
              <w:top w:val="single" w:color="auto" w:sz="12" w:space="0"/>
              <w:right w:val="single" w:color="auto" w:sz="4" w:space="0"/>
            </w:tcBorders>
            <w:shd w:val="clear" w:color="auto" w:fill="EEECE1"/>
            <w:vAlign w:val="center"/>
          </w:tcPr>
          <w:p w14:paraId="173DBA23">
            <w:pPr>
              <w:snapToGrid w:val="0"/>
              <w:jc w:val="center"/>
              <w:rPr>
                <w:rFonts w:ascii="宋体"/>
                <w:b/>
                <w:sz w:val="24"/>
              </w:rPr>
            </w:pPr>
            <w:r>
              <w:rPr>
                <w:rFonts w:hint="eastAsia" w:ascii="宋体"/>
                <w:b/>
                <w:sz w:val="24"/>
              </w:rPr>
              <w:t>项目报价</w:t>
            </w:r>
          </w:p>
        </w:tc>
        <w:tc>
          <w:tcPr>
            <w:tcW w:w="2257" w:type="dxa"/>
            <w:tcBorders>
              <w:top w:val="single" w:color="auto" w:sz="12" w:space="0"/>
              <w:right w:val="single" w:color="auto" w:sz="4" w:space="0"/>
            </w:tcBorders>
            <w:shd w:val="clear" w:color="auto" w:fill="EEECE1"/>
            <w:vAlign w:val="center"/>
          </w:tcPr>
          <w:p w14:paraId="0A9AAEDB">
            <w:pPr>
              <w:snapToGrid w:val="0"/>
              <w:jc w:val="center"/>
              <w:rPr>
                <w:rFonts w:ascii="宋体"/>
                <w:b/>
                <w:sz w:val="24"/>
              </w:rPr>
            </w:pPr>
            <w:r>
              <w:rPr>
                <w:rFonts w:hint="eastAsia" w:ascii="宋体" w:hAnsi="宋体"/>
                <w:b/>
                <w:bCs/>
                <w:sz w:val="24"/>
              </w:rPr>
              <w:t>所属行业</w:t>
            </w:r>
          </w:p>
        </w:tc>
      </w:tr>
      <w:tr w14:paraId="1077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2548" w:type="dxa"/>
            <w:tcBorders>
              <w:bottom w:val="single" w:color="auto" w:sz="12" w:space="0"/>
            </w:tcBorders>
            <w:vAlign w:val="center"/>
          </w:tcPr>
          <w:p w14:paraId="3AB671E7">
            <w:pPr>
              <w:snapToGrid w:val="0"/>
              <w:jc w:val="center"/>
              <w:rPr>
                <w:rFonts w:ascii="宋体"/>
                <w:bCs/>
                <w:sz w:val="24"/>
              </w:rPr>
            </w:pPr>
            <w:r>
              <w:rPr>
                <w:rFonts w:hint="eastAsia" w:ascii="宋体"/>
                <w:bCs/>
                <w:sz w:val="24"/>
              </w:rPr>
              <w:t>灭治红白蚁、除四害、跳蚤服务</w:t>
            </w:r>
          </w:p>
        </w:tc>
        <w:tc>
          <w:tcPr>
            <w:tcW w:w="848" w:type="dxa"/>
            <w:tcBorders>
              <w:bottom w:val="single" w:color="auto" w:sz="12" w:space="0"/>
            </w:tcBorders>
            <w:vAlign w:val="center"/>
          </w:tcPr>
          <w:p w14:paraId="348E0DAD">
            <w:pPr>
              <w:snapToGrid w:val="0"/>
              <w:jc w:val="center"/>
              <w:rPr>
                <w:rFonts w:ascii="宋体"/>
                <w:bCs/>
                <w:sz w:val="24"/>
              </w:rPr>
            </w:pPr>
            <w:r>
              <w:rPr>
                <w:rFonts w:hint="eastAsia" w:ascii="宋体"/>
                <w:bCs/>
                <w:sz w:val="24"/>
              </w:rPr>
              <w:t>1项</w:t>
            </w:r>
          </w:p>
        </w:tc>
        <w:tc>
          <w:tcPr>
            <w:tcW w:w="2305" w:type="dxa"/>
            <w:tcBorders>
              <w:bottom w:val="single" w:color="auto" w:sz="12" w:space="0"/>
              <w:right w:val="single" w:color="auto" w:sz="4" w:space="0"/>
            </w:tcBorders>
            <w:vAlign w:val="center"/>
          </w:tcPr>
          <w:p w14:paraId="68B46C6A">
            <w:pPr>
              <w:pStyle w:val="12"/>
              <w:snapToGrid w:val="0"/>
              <w:spacing w:before="0" w:after="0" w:line="240" w:lineRule="auto"/>
              <w:rPr>
                <w:rFonts w:ascii="宋体" w:hAnsi="宋体"/>
                <w:spacing w:val="0"/>
                <w:kern w:val="2"/>
                <w:szCs w:val="24"/>
              </w:rPr>
            </w:pPr>
            <w:r>
              <w:rPr>
                <w:rFonts w:ascii="微软雅黑" w:hAnsi="微软雅黑" w:eastAsia="微软雅黑" w:cs="微软雅黑"/>
                <w:i w:val="0"/>
                <w:iCs w:val="0"/>
                <w:caps w:val="0"/>
                <w:color w:val="000000"/>
                <w:spacing w:val="0"/>
                <w:sz w:val="24"/>
                <w:szCs w:val="24"/>
              </w:rPr>
              <w:t>77688.00元</w:t>
            </w:r>
          </w:p>
        </w:tc>
        <w:tc>
          <w:tcPr>
            <w:tcW w:w="2257" w:type="dxa"/>
            <w:tcBorders>
              <w:bottom w:val="single" w:color="auto" w:sz="12" w:space="0"/>
              <w:right w:val="single" w:color="auto" w:sz="4" w:space="0"/>
            </w:tcBorders>
            <w:vAlign w:val="center"/>
          </w:tcPr>
          <w:p w14:paraId="5F856252">
            <w:pPr>
              <w:pStyle w:val="12"/>
              <w:snapToGrid w:val="0"/>
              <w:spacing w:before="0" w:after="0" w:line="240" w:lineRule="auto"/>
              <w:rPr>
                <w:rFonts w:ascii="宋体" w:hAnsi="宋体"/>
                <w:spacing w:val="0"/>
                <w:kern w:val="2"/>
                <w:szCs w:val="24"/>
              </w:rPr>
            </w:pPr>
            <w:r>
              <w:rPr>
                <w:rFonts w:hint="eastAsia" w:ascii="宋体" w:hAnsi="宋体"/>
                <w:spacing w:val="0"/>
                <w:kern w:val="2"/>
                <w:szCs w:val="24"/>
              </w:rPr>
              <w:t>其他未列明行业</w:t>
            </w:r>
          </w:p>
        </w:tc>
      </w:tr>
    </w:tbl>
    <w:p w14:paraId="3D74EC85">
      <w:pPr>
        <w:numPr>
          <w:ilvl w:val="0"/>
          <w:numId w:val="1"/>
        </w:numPr>
        <w:tabs>
          <w:tab w:val="left" w:pos="840"/>
        </w:tabs>
        <w:adjustRightInd/>
        <w:snapToGrid w:val="0"/>
        <w:spacing w:line="360" w:lineRule="auto"/>
        <w:ind w:firstLine="0"/>
        <w:textAlignment w:val="auto"/>
        <w:outlineLvl w:val="1"/>
        <w:rPr>
          <w:rFonts w:ascii="宋体" w:hAnsi="宋体"/>
          <w:b/>
          <w:kern w:val="2"/>
          <w:sz w:val="24"/>
        </w:rPr>
      </w:pPr>
      <w:r>
        <w:rPr>
          <w:rFonts w:hint="eastAsia" w:ascii="宋体" w:hAnsi="宋体"/>
          <w:b/>
          <w:kern w:val="2"/>
          <w:sz w:val="24"/>
        </w:rPr>
        <w:t>基本准则</w:t>
      </w:r>
    </w:p>
    <w:p w14:paraId="3A24D115">
      <w:pPr>
        <w:numPr>
          <w:ilvl w:val="0"/>
          <w:numId w:val="3"/>
        </w:numPr>
        <w:tabs>
          <w:tab w:val="left" w:pos="640"/>
        </w:tabs>
        <w:adjustRightInd/>
        <w:snapToGrid w:val="0"/>
        <w:spacing w:line="360" w:lineRule="auto"/>
        <w:ind w:firstLine="480" w:firstLineChars="200"/>
        <w:textAlignment w:val="auto"/>
        <w:outlineLvl w:val="1"/>
        <w:rPr>
          <w:rFonts w:ascii="宋体" w:hAnsi="宋体" w:cs="仿宋"/>
          <w:kern w:val="2"/>
          <w:sz w:val="24"/>
        </w:rPr>
      </w:pPr>
      <w:bookmarkStart w:id="0" w:name="_Toc344194003"/>
      <w:r>
        <w:rPr>
          <w:rFonts w:hint="eastAsia" w:ascii="宋体" w:hAnsi="宋体" w:cs="仿宋"/>
          <w:kern w:val="2"/>
          <w:sz w:val="24"/>
        </w:rPr>
        <w:t>本项目为广州医科大学附属第三医院黄埔院区</w:t>
      </w:r>
      <w:r>
        <w:rPr>
          <w:rFonts w:hint="eastAsia" w:ascii="宋体" w:hAnsi="宋体"/>
          <w:bCs/>
          <w:kern w:val="2"/>
          <w:sz w:val="24"/>
        </w:rPr>
        <w:t>灭治红白蚁、除四害、跳蚤服务服务</w:t>
      </w:r>
      <w:r>
        <w:rPr>
          <w:rFonts w:hint="eastAsia" w:ascii="宋体" w:hAnsi="宋体" w:cs="仿宋"/>
          <w:kern w:val="2"/>
          <w:sz w:val="24"/>
        </w:rPr>
        <w:t>项目，投标人必须对本项目整体报价，不得拆分。</w:t>
      </w:r>
      <w:bookmarkEnd w:id="0"/>
    </w:p>
    <w:p w14:paraId="0DC7B820">
      <w:pPr>
        <w:numPr>
          <w:ilvl w:val="0"/>
          <w:numId w:val="3"/>
        </w:numPr>
        <w:tabs>
          <w:tab w:val="left" w:pos="720"/>
        </w:tabs>
        <w:adjustRightInd/>
        <w:snapToGrid w:val="0"/>
        <w:spacing w:line="360" w:lineRule="auto"/>
        <w:ind w:firstLine="480" w:firstLineChars="200"/>
        <w:textAlignment w:val="auto"/>
        <w:outlineLvl w:val="1"/>
        <w:rPr>
          <w:rFonts w:ascii="宋体" w:hAnsi="宋体" w:cs="仿宋"/>
          <w:kern w:val="2"/>
          <w:sz w:val="24"/>
        </w:rPr>
      </w:pPr>
      <w:bookmarkStart w:id="1" w:name="_Toc344194004"/>
      <w:r>
        <w:rPr>
          <w:rFonts w:hint="eastAsia" w:ascii="宋体" w:hAnsi="宋体" w:cs="仿宋"/>
          <w:kern w:val="2"/>
          <w:sz w:val="24"/>
        </w:rPr>
        <w:t>本项目招标内容及范围：</w:t>
      </w:r>
      <w:bookmarkEnd w:id="1"/>
      <w:r>
        <w:rPr>
          <w:rFonts w:hint="eastAsia" w:ascii="宋体" w:hAnsi="宋体" w:cs="仿宋"/>
          <w:kern w:val="2"/>
          <w:sz w:val="24"/>
        </w:rPr>
        <w:t>黄埔区长贤路55号，</w:t>
      </w:r>
      <w:r>
        <w:rPr>
          <w:rFonts w:hint="eastAsia" w:ascii="宋体" w:hAnsi="宋体"/>
          <w:sz w:val="24"/>
        </w:rPr>
        <w:t>占地面积5.7万平方米，总建筑面积约7.8万平方米，一期工程拟规划设置床位数为500床。</w:t>
      </w:r>
    </w:p>
    <w:p w14:paraId="2935657C">
      <w:pPr>
        <w:numPr>
          <w:ilvl w:val="0"/>
          <w:numId w:val="3"/>
        </w:numPr>
        <w:tabs>
          <w:tab w:val="left" w:pos="720"/>
        </w:tabs>
        <w:adjustRightInd/>
        <w:snapToGrid w:val="0"/>
        <w:spacing w:line="360" w:lineRule="auto"/>
        <w:ind w:firstLine="480" w:firstLineChars="200"/>
        <w:textAlignment w:val="auto"/>
        <w:outlineLvl w:val="1"/>
        <w:rPr>
          <w:rFonts w:ascii="宋体" w:hAnsi="宋体" w:cs="仿宋"/>
          <w:kern w:val="2"/>
          <w:sz w:val="24"/>
        </w:rPr>
      </w:pPr>
      <w:bookmarkStart w:id="2" w:name="_Toc344194005"/>
      <w:r>
        <w:rPr>
          <w:rFonts w:hint="eastAsia" w:ascii="宋体" w:hAnsi="宋体" w:cs="仿宋"/>
          <w:kern w:val="2"/>
          <w:sz w:val="24"/>
        </w:rPr>
        <w:t>采用总价包干的服务方式，投标人的报价总价应包含但不限于：</w:t>
      </w:r>
      <w:r>
        <w:rPr>
          <w:rFonts w:hint="eastAsia" w:ascii="宋体" w:hAnsi="宋体" w:cs="仿宋"/>
          <w:snapToGrid w:val="0"/>
          <w:kern w:val="2"/>
          <w:sz w:val="24"/>
        </w:rPr>
        <w:t>劳务、管理、利润、保险、税金、工具设备及设备燃料、政策性文件规定的各项应有费用，</w:t>
      </w:r>
      <w:r>
        <w:rPr>
          <w:rFonts w:hint="eastAsia" w:ascii="宋体" w:hAnsi="宋体" w:cs="仿宋"/>
          <w:kern w:val="2"/>
          <w:sz w:val="24"/>
        </w:rPr>
        <w:t>服务期内均按上述内容支付费用，不再额外支付及调整。</w:t>
      </w:r>
      <w:bookmarkEnd w:id="2"/>
    </w:p>
    <w:p w14:paraId="4D7E09FC">
      <w:pPr>
        <w:numPr>
          <w:ilvl w:val="0"/>
          <w:numId w:val="1"/>
        </w:numPr>
        <w:tabs>
          <w:tab w:val="left" w:pos="840"/>
        </w:tabs>
        <w:adjustRightInd/>
        <w:snapToGrid w:val="0"/>
        <w:spacing w:line="360" w:lineRule="auto"/>
        <w:ind w:firstLine="0"/>
        <w:textAlignment w:val="auto"/>
        <w:outlineLvl w:val="1"/>
        <w:rPr>
          <w:rFonts w:ascii="宋体" w:hAnsi="宋体"/>
          <w:b/>
          <w:kern w:val="2"/>
          <w:sz w:val="24"/>
        </w:rPr>
      </w:pPr>
      <w:r>
        <w:rPr>
          <w:rFonts w:hint="eastAsia" w:ascii="宋体" w:hAnsi="宋体"/>
          <w:b/>
          <w:kern w:val="2"/>
          <w:sz w:val="24"/>
        </w:rPr>
        <w:t>服务内容要求</w:t>
      </w:r>
    </w:p>
    <w:p w14:paraId="709976A2">
      <w:pPr>
        <w:widowControl/>
        <w:numPr>
          <w:ilvl w:val="0"/>
          <w:numId w:val="4"/>
        </w:numPr>
        <w:tabs>
          <w:tab w:val="left" w:pos="0"/>
        </w:tabs>
        <w:adjustRightInd/>
        <w:snapToGrid w:val="0"/>
        <w:spacing w:line="360" w:lineRule="auto"/>
        <w:ind w:firstLine="480" w:firstLineChars="200"/>
        <w:jc w:val="left"/>
        <w:textAlignment w:val="auto"/>
        <w:outlineLvl w:val="1"/>
        <w:rPr>
          <w:rFonts w:ascii="宋体" w:hAnsi="宋体" w:cs="宋体"/>
          <w:kern w:val="2"/>
          <w:sz w:val="24"/>
        </w:rPr>
      </w:pPr>
      <w:r>
        <w:rPr>
          <w:rFonts w:hint="eastAsia" w:ascii="宋体" w:hAnsi="宋体" w:cs="宋体"/>
          <w:kern w:val="2"/>
          <w:sz w:val="24"/>
        </w:rPr>
        <w:t>负责服务的地址及范围：</w:t>
      </w:r>
      <w:r>
        <w:rPr>
          <w:rFonts w:hint="eastAsia" w:ascii="宋体" w:hAnsi="宋体" w:cs="仿宋"/>
          <w:kern w:val="2"/>
          <w:sz w:val="24"/>
        </w:rPr>
        <w:t>黄埔区长贤路55号</w:t>
      </w:r>
      <w:r>
        <w:rPr>
          <w:rFonts w:hint="eastAsia" w:ascii="宋体" w:hAnsi="宋体" w:cs="宋体"/>
          <w:kern w:val="2"/>
          <w:sz w:val="24"/>
        </w:rPr>
        <w:t>采购人所属范围内所有的区域灭治白蚁、蚊子、蟑螂、苍蝇、老鼠、红蚁、跳蚤服务。</w:t>
      </w:r>
    </w:p>
    <w:p w14:paraId="2A6BECDD">
      <w:pPr>
        <w:widowControl/>
        <w:numPr>
          <w:ilvl w:val="0"/>
          <w:numId w:val="4"/>
        </w:numPr>
        <w:tabs>
          <w:tab w:val="left" w:pos="0"/>
        </w:tabs>
        <w:adjustRightInd/>
        <w:snapToGrid w:val="0"/>
        <w:spacing w:line="360" w:lineRule="auto"/>
        <w:ind w:firstLine="480" w:firstLineChars="200"/>
        <w:jc w:val="left"/>
        <w:textAlignment w:val="auto"/>
        <w:outlineLvl w:val="1"/>
        <w:rPr>
          <w:rFonts w:ascii="宋体" w:hAnsi="宋体" w:cs="宋体"/>
          <w:kern w:val="2"/>
          <w:sz w:val="24"/>
        </w:rPr>
      </w:pPr>
      <w:r>
        <w:rPr>
          <w:rFonts w:hint="eastAsia" w:ascii="宋体" w:hAnsi="宋体" w:cs="宋体"/>
          <w:kern w:val="2"/>
          <w:sz w:val="24"/>
        </w:rPr>
        <w:t>在合同期间，如出现中标人负责的地址及范围不属于采购人管理范围内时，中标人需取消该地址及范围的服务且相应减少该地址及范围的服务费用。</w:t>
      </w:r>
    </w:p>
    <w:p w14:paraId="1CABEFC0">
      <w:pPr>
        <w:widowControl/>
        <w:numPr>
          <w:ilvl w:val="0"/>
          <w:numId w:val="4"/>
        </w:numPr>
        <w:tabs>
          <w:tab w:val="left" w:pos="0"/>
        </w:tabs>
        <w:adjustRightInd/>
        <w:snapToGrid w:val="0"/>
        <w:spacing w:line="360" w:lineRule="auto"/>
        <w:ind w:firstLine="480" w:firstLineChars="200"/>
        <w:jc w:val="left"/>
        <w:textAlignment w:val="auto"/>
        <w:outlineLvl w:val="1"/>
        <w:rPr>
          <w:rFonts w:ascii="宋体" w:hAnsi="宋体" w:cs="宋体"/>
          <w:kern w:val="2"/>
          <w:sz w:val="24"/>
        </w:rPr>
      </w:pPr>
      <w:r>
        <w:rPr>
          <w:rFonts w:hint="eastAsia" w:ascii="宋体" w:hAnsi="宋体" w:cs="宋体"/>
          <w:kern w:val="2"/>
          <w:sz w:val="24"/>
        </w:rPr>
        <w:t>中标人公司需具备上述服务相关资质，派出的专业操作人员需持有广州市卫生有害生物防制协会或广州市白蚁防治行业协会颁发的上岗证，对本项目合同约定的服务范围进行白蚁、蚊子、蟑螂、苍蝇、老鼠、红蚁、跳蚤的服务工作，采用物理防治与化学防治相结合的方式。</w:t>
      </w:r>
    </w:p>
    <w:p w14:paraId="6DEAACAD">
      <w:pPr>
        <w:widowControl/>
        <w:numPr>
          <w:ilvl w:val="0"/>
          <w:numId w:val="4"/>
        </w:numPr>
        <w:tabs>
          <w:tab w:val="left" w:pos="0"/>
        </w:tabs>
        <w:adjustRightInd/>
        <w:snapToGrid w:val="0"/>
        <w:spacing w:line="360" w:lineRule="auto"/>
        <w:ind w:firstLine="480" w:firstLineChars="200"/>
        <w:jc w:val="left"/>
        <w:textAlignment w:val="auto"/>
        <w:outlineLvl w:val="1"/>
        <w:rPr>
          <w:rFonts w:ascii="宋体" w:hAnsi="宋体" w:cs="宋体"/>
          <w:kern w:val="2"/>
          <w:sz w:val="24"/>
        </w:rPr>
      </w:pPr>
      <w:r>
        <w:rPr>
          <w:rFonts w:hint="eastAsia" w:ascii="宋体" w:hAnsi="宋体" w:cs="宋体"/>
          <w:kern w:val="2"/>
          <w:sz w:val="24"/>
        </w:rPr>
        <w:t>具体服务工作要求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6789"/>
      </w:tblGrid>
      <w:tr w14:paraId="743E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3" w:type="dxa"/>
            <w:vAlign w:val="center"/>
          </w:tcPr>
          <w:p w14:paraId="6192F9F6">
            <w:pPr>
              <w:widowControl/>
              <w:tabs>
                <w:tab w:val="left" w:pos="0"/>
              </w:tabs>
              <w:adjustRightInd/>
              <w:snapToGrid w:val="0"/>
              <w:spacing w:line="360" w:lineRule="auto"/>
              <w:jc w:val="center"/>
              <w:textAlignment w:val="auto"/>
              <w:rPr>
                <w:rFonts w:ascii="宋体" w:hAnsi="宋体" w:cs="宋体"/>
                <w:b/>
                <w:bCs/>
                <w:kern w:val="2"/>
                <w:sz w:val="24"/>
              </w:rPr>
            </w:pPr>
            <w:r>
              <w:rPr>
                <w:rFonts w:hint="eastAsia" w:ascii="宋体" w:hAnsi="宋体" w:cs="宋体"/>
                <w:b/>
                <w:bCs/>
                <w:kern w:val="2"/>
                <w:sz w:val="24"/>
              </w:rPr>
              <w:t>类型</w:t>
            </w:r>
          </w:p>
        </w:tc>
        <w:tc>
          <w:tcPr>
            <w:tcW w:w="6789" w:type="dxa"/>
            <w:vAlign w:val="center"/>
          </w:tcPr>
          <w:p w14:paraId="2D707597">
            <w:pPr>
              <w:widowControl/>
              <w:tabs>
                <w:tab w:val="left" w:pos="0"/>
              </w:tabs>
              <w:adjustRightInd/>
              <w:snapToGrid w:val="0"/>
              <w:spacing w:line="360" w:lineRule="auto"/>
              <w:jc w:val="center"/>
              <w:textAlignment w:val="auto"/>
              <w:rPr>
                <w:rFonts w:ascii="宋体" w:hAnsi="宋体" w:cs="宋体"/>
                <w:b/>
                <w:bCs/>
                <w:kern w:val="2"/>
                <w:sz w:val="24"/>
              </w:rPr>
            </w:pPr>
            <w:r>
              <w:rPr>
                <w:rFonts w:hint="eastAsia" w:ascii="宋体" w:hAnsi="宋体" w:cs="宋体"/>
                <w:b/>
                <w:bCs/>
                <w:kern w:val="2"/>
                <w:sz w:val="24"/>
              </w:rPr>
              <w:t>具体服务工作要求</w:t>
            </w:r>
          </w:p>
        </w:tc>
      </w:tr>
      <w:tr w14:paraId="1C8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733" w:type="dxa"/>
            <w:vAlign w:val="center"/>
          </w:tcPr>
          <w:p w14:paraId="32F3DAAB">
            <w:pPr>
              <w:widowControl/>
              <w:tabs>
                <w:tab w:val="left" w:pos="0"/>
              </w:tabs>
              <w:adjustRightInd/>
              <w:snapToGrid w:val="0"/>
              <w:spacing w:line="360" w:lineRule="auto"/>
              <w:jc w:val="center"/>
              <w:textAlignment w:val="auto"/>
              <w:rPr>
                <w:rFonts w:ascii="宋体" w:hAnsi="宋体" w:cs="宋体"/>
                <w:kern w:val="2"/>
                <w:sz w:val="24"/>
              </w:rPr>
            </w:pPr>
            <w:r>
              <w:rPr>
                <w:rFonts w:hint="eastAsia" w:ascii="宋体" w:hAnsi="宋体" w:cs="宋体"/>
                <w:kern w:val="2"/>
                <w:sz w:val="24"/>
              </w:rPr>
              <w:t>灭治蚊子、苍蝇</w:t>
            </w:r>
          </w:p>
        </w:tc>
        <w:tc>
          <w:tcPr>
            <w:tcW w:w="6789" w:type="dxa"/>
            <w:vAlign w:val="center"/>
          </w:tcPr>
          <w:p w14:paraId="720FECA6">
            <w:pPr>
              <w:widowControl/>
              <w:numPr>
                <w:ilvl w:val="0"/>
                <w:numId w:val="5"/>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w:t>
            </w:r>
            <w:r>
              <w:rPr>
                <w:rFonts w:hint="eastAsia" w:ascii="宋体" w:hAnsi="宋体" w:cs="宋体"/>
                <w:b/>
                <w:kern w:val="2"/>
                <w:sz w:val="24"/>
              </w:rPr>
              <w:t>月</w:t>
            </w:r>
            <w:r>
              <w:rPr>
                <w:rFonts w:hint="eastAsia" w:ascii="宋体" w:hAnsi="宋体" w:cs="宋体"/>
                <w:kern w:val="2"/>
                <w:sz w:val="24"/>
              </w:rPr>
              <w:t>对全院区室内室外进行三次灭蚊灭蝇消杀，行政二楼饭堂区域每</w:t>
            </w:r>
            <w:r>
              <w:rPr>
                <w:rFonts w:hint="eastAsia" w:ascii="宋体" w:hAnsi="宋体" w:cs="宋体"/>
                <w:b/>
                <w:kern w:val="2"/>
                <w:sz w:val="24"/>
              </w:rPr>
              <w:t>周</w:t>
            </w:r>
            <w:r>
              <w:rPr>
                <w:rFonts w:hint="eastAsia" w:ascii="宋体" w:hAnsi="宋体" w:cs="宋体"/>
                <w:kern w:val="2"/>
                <w:sz w:val="24"/>
              </w:rPr>
              <w:t>一次，具体时间由采购人确定；</w:t>
            </w:r>
          </w:p>
          <w:p w14:paraId="6909E5AD">
            <w:pPr>
              <w:widowControl/>
              <w:numPr>
                <w:ilvl w:val="0"/>
                <w:numId w:val="5"/>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每次灭蚊灭蝇需派出3位或以上持有广州市卫生有害生物防制协会颁发的中级资格证书的消毒员。</w:t>
            </w:r>
          </w:p>
          <w:p w14:paraId="05E37A15">
            <w:pPr>
              <w:widowControl/>
              <w:numPr>
                <w:ilvl w:val="0"/>
                <w:numId w:val="5"/>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针对采购人提出有蚊子、苍蝇的位置，中标人需在1小时内派出1名以上初级消毒员及1名中级以上消毒员到采购人指定位置灭治蚊子、苍蝇。</w:t>
            </w:r>
          </w:p>
          <w:p w14:paraId="09CCB8B1">
            <w:pPr>
              <w:widowControl/>
              <w:numPr>
                <w:ilvl w:val="0"/>
                <w:numId w:val="5"/>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灭</w:t>
            </w:r>
            <w:r>
              <w:rPr>
                <w:rFonts w:ascii="宋体" w:hAnsi="宋体" w:cs="宋体"/>
                <w:kern w:val="2"/>
                <w:sz w:val="24"/>
              </w:rPr>
              <w:t>治</w:t>
            </w:r>
            <w:r>
              <w:rPr>
                <w:rFonts w:hint="eastAsia" w:ascii="宋体" w:hAnsi="宋体" w:cs="宋体"/>
                <w:kern w:val="2"/>
                <w:sz w:val="24"/>
              </w:rPr>
              <w:t>后三天</w:t>
            </w:r>
            <w:r>
              <w:rPr>
                <w:rFonts w:ascii="宋体" w:hAnsi="宋体" w:cs="宋体"/>
                <w:kern w:val="2"/>
                <w:sz w:val="24"/>
              </w:rPr>
              <w:t>内</w:t>
            </w:r>
            <w:r>
              <w:rPr>
                <w:rFonts w:hint="eastAsia" w:ascii="宋体" w:hAnsi="宋体" w:cs="宋体"/>
                <w:kern w:val="2"/>
                <w:sz w:val="24"/>
              </w:rPr>
              <w:t>进行</w:t>
            </w:r>
            <w:r>
              <w:rPr>
                <w:rFonts w:ascii="宋体" w:hAnsi="宋体" w:cs="宋体"/>
                <w:kern w:val="2"/>
                <w:sz w:val="24"/>
              </w:rPr>
              <w:t>复查</w:t>
            </w:r>
            <w:r>
              <w:rPr>
                <w:rFonts w:hint="eastAsia" w:ascii="宋体" w:hAnsi="宋体" w:cs="宋体"/>
                <w:kern w:val="2"/>
                <w:sz w:val="24"/>
              </w:rPr>
              <w:t>跟进</w:t>
            </w:r>
            <w:r>
              <w:rPr>
                <w:rFonts w:ascii="宋体" w:hAnsi="宋体" w:cs="宋体"/>
                <w:kern w:val="2"/>
                <w:sz w:val="24"/>
              </w:rPr>
              <w:t>，确保灭</w:t>
            </w:r>
            <w:r>
              <w:rPr>
                <w:rFonts w:hint="eastAsia" w:ascii="宋体" w:hAnsi="宋体" w:cs="宋体"/>
                <w:kern w:val="2"/>
                <w:sz w:val="24"/>
              </w:rPr>
              <w:t>治</w:t>
            </w:r>
            <w:r>
              <w:rPr>
                <w:rFonts w:ascii="宋体" w:hAnsi="宋体" w:cs="宋体"/>
                <w:kern w:val="2"/>
                <w:sz w:val="24"/>
              </w:rPr>
              <w:t>效果</w:t>
            </w:r>
            <w:r>
              <w:rPr>
                <w:rFonts w:hint="eastAsia" w:ascii="宋体" w:hAnsi="宋体" w:cs="宋体"/>
                <w:kern w:val="2"/>
                <w:sz w:val="24"/>
              </w:rPr>
              <w:t>。</w:t>
            </w:r>
          </w:p>
        </w:tc>
      </w:tr>
      <w:tr w14:paraId="0155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3" w:type="dxa"/>
            <w:vAlign w:val="center"/>
          </w:tcPr>
          <w:p w14:paraId="54E391BE">
            <w:pPr>
              <w:widowControl/>
              <w:tabs>
                <w:tab w:val="left" w:pos="0"/>
              </w:tabs>
              <w:adjustRightInd/>
              <w:snapToGrid w:val="0"/>
              <w:spacing w:line="360" w:lineRule="auto"/>
              <w:jc w:val="center"/>
              <w:textAlignment w:val="auto"/>
              <w:rPr>
                <w:rFonts w:ascii="宋体" w:hAnsi="宋体" w:cs="宋体"/>
                <w:kern w:val="2"/>
                <w:sz w:val="24"/>
              </w:rPr>
            </w:pPr>
            <w:r>
              <w:rPr>
                <w:rFonts w:hint="eastAsia" w:ascii="宋体" w:hAnsi="宋体" w:cs="宋体"/>
                <w:kern w:val="2"/>
                <w:sz w:val="24"/>
              </w:rPr>
              <w:t>灭治红白蚁</w:t>
            </w:r>
          </w:p>
        </w:tc>
        <w:tc>
          <w:tcPr>
            <w:tcW w:w="6789" w:type="dxa"/>
            <w:vAlign w:val="center"/>
          </w:tcPr>
          <w:p w14:paraId="63AFF541">
            <w:pPr>
              <w:widowControl/>
              <w:numPr>
                <w:ilvl w:val="0"/>
                <w:numId w:val="6"/>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每月对全院进行一次红白蚁防制检查；</w:t>
            </w:r>
          </w:p>
          <w:p w14:paraId="17D29ED5">
            <w:pPr>
              <w:widowControl/>
              <w:numPr>
                <w:ilvl w:val="0"/>
                <w:numId w:val="6"/>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针对采购人发现有红白蚁位置，中标人需在12-24小时内派出人员到采购人指定位置灭治红白蚁。</w:t>
            </w:r>
          </w:p>
          <w:p w14:paraId="094EB05B">
            <w:pPr>
              <w:widowControl/>
              <w:numPr>
                <w:ilvl w:val="0"/>
                <w:numId w:val="6"/>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处理过的位置，一个月内不能再出现白蚁，如有出现，由中标人免费再次处理。</w:t>
            </w:r>
          </w:p>
        </w:tc>
      </w:tr>
      <w:tr w14:paraId="4E06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3" w:type="dxa"/>
            <w:vAlign w:val="center"/>
          </w:tcPr>
          <w:p w14:paraId="3E518C95">
            <w:pPr>
              <w:widowControl/>
              <w:tabs>
                <w:tab w:val="left" w:pos="0"/>
              </w:tabs>
              <w:adjustRightInd/>
              <w:snapToGrid w:val="0"/>
              <w:spacing w:line="360" w:lineRule="auto"/>
              <w:jc w:val="center"/>
              <w:textAlignment w:val="auto"/>
              <w:rPr>
                <w:rFonts w:ascii="宋体" w:hAnsi="宋体" w:cs="宋体"/>
                <w:kern w:val="2"/>
                <w:sz w:val="24"/>
              </w:rPr>
            </w:pPr>
            <w:r>
              <w:rPr>
                <w:rFonts w:hint="eastAsia" w:ascii="宋体" w:hAnsi="宋体" w:cs="宋体"/>
                <w:kern w:val="2"/>
                <w:sz w:val="24"/>
              </w:rPr>
              <w:t>灭治老鼠</w:t>
            </w:r>
          </w:p>
        </w:tc>
        <w:tc>
          <w:tcPr>
            <w:tcW w:w="6789" w:type="dxa"/>
            <w:vAlign w:val="center"/>
          </w:tcPr>
          <w:p w14:paraId="2B50B402">
            <w:pPr>
              <w:widowControl/>
              <w:numPr>
                <w:ilvl w:val="0"/>
                <w:numId w:val="7"/>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每月对院区室外地域的鼠迹情况全面检查二次，发现鼠洞及时施放灭鼠毒饵，灭鼠后将鼠洞堵塞；</w:t>
            </w:r>
          </w:p>
          <w:p w14:paraId="62EFDA4C">
            <w:pPr>
              <w:widowControl/>
              <w:numPr>
                <w:ilvl w:val="0"/>
                <w:numId w:val="7"/>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每月对下水道沙井施放烟熏灭杀老鼠二次；</w:t>
            </w:r>
          </w:p>
          <w:p w14:paraId="73CAF1F1">
            <w:pPr>
              <w:widowControl/>
              <w:numPr>
                <w:ilvl w:val="0"/>
                <w:numId w:val="7"/>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中标人承诺签订合同后第一个月内在食堂厨房、药房、宿舍、病房等鼠类容易栖息、隐藏的楼房外围放置老鼠屋诱饵盒，并在诱饵盒放置不同种类的灭鼠毒饵，</w:t>
            </w:r>
          </w:p>
          <w:p w14:paraId="2EDE38A7">
            <w:pPr>
              <w:widowControl/>
              <w:numPr>
                <w:ilvl w:val="0"/>
                <w:numId w:val="7"/>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每月对放置老鼠屋诱饵盒的位置进行两次检查，并对损坏或不足的老鼠屋诱饵盒进行及时补充及更换。</w:t>
            </w:r>
          </w:p>
          <w:p w14:paraId="4D9863CF">
            <w:pPr>
              <w:widowControl/>
              <w:numPr>
                <w:ilvl w:val="0"/>
                <w:numId w:val="7"/>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针对采购人提出有老鼠的位置，中标人需在12-24小时内派出人员到采购指定位置灭治老鼠。</w:t>
            </w:r>
          </w:p>
          <w:p w14:paraId="3FCA24EB">
            <w:pPr>
              <w:widowControl/>
              <w:numPr>
                <w:ilvl w:val="0"/>
                <w:numId w:val="7"/>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灭</w:t>
            </w:r>
            <w:r>
              <w:rPr>
                <w:rFonts w:ascii="宋体" w:hAnsi="宋体" w:cs="宋体"/>
                <w:kern w:val="2"/>
                <w:sz w:val="24"/>
              </w:rPr>
              <w:t>治</w:t>
            </w:r>
            <w:r>
              <w:rPr>
                <w:rFonts w:hint="eastAsia" w:ascii="宋体" w:hAnsi="宋体" w:cs="宋体"/>
                <w:kern w:val="2"/>
                <w:sz w:val="24"/>
              </w:rPr>
              <w:t>后一周</w:t>
            </w:r>
            <w:r>
              <w:rPr>
                <w:rFonts w:ascii="宋体" w:hAnsi="宋体" w:cs="宋体"/>
                <w:kern w:val="2"/>
                <w:sz w:val="24"/>
              </w:rPr>
              <w:t>内</w:t>
            </w:r>
            <w:r>
              <w:rPr>
                <w:rFonts w:hint="eastAsia" w:ascii="宋体" w:hAnsi="宋体" w:cs="宋体"/>
                <w:kern w:val="2"/>
                <w:sz w:val="24"/>
              </w:rPr>
              <w:t>进行</w:t>
            </w:r>
            <w:r>
              <w:rPr>
                <w:rFonts w:ascii="宋体" w:hAnsi="宋体" w:cs="宋体"/>
                <w:kern w:val="2"/>
                <w:sz w:val="24"/>
              </w:rPr>
              <w:t>复查</w:t>
            </w:r>
            <w:r>
              <w:rPr>
                <w:rFonts w:hint="eastAsia" w:ascii="宋体" w:hAnsi="宋体" w:cs="宋体"/>
                <w:kern w:val="2"/>
                <w:sz w:val="24"/>
              </w:rPr>
              <w:t>跟进</w:t>
            </w:r>
            <w:r>
              <w:rPr>
                <w:rFonts w:ascii="宋体" w:hAnsi="宋体" w:cs="宋体"/>
                <w:kern w:val="2"/>
                <w:sz w:val="24"/>
              </w:rPr>
              <w:t>，确保灭</w:t>
            </w:r>
            <w:r>
              <w:rPr>
                <w:rFonts w:hint="eastAsia" w:ascii="宋体" w:hAnsi="宋体" w:cs="宋体"/>
                <w:kern w:val="2"/>
                <w:sz w:val="24"/>
              </w:rPr>
              <w:t>治</w:t>
            </w:r>
            <w:r>
              <w:rPr>
                <w:rFonts w:ascii="宋体" w:hAnsi="宋体" w:cs="宋体"/>
                <w:kern w:val="2"/>
                <w:sz w:val="24"/>
              </w:rPr>
              <w:t>效果</w:t>
            </w:r>
            <w:r>
              <w:rPr>
                <w:rFonts w:hint="eastAsia" w:ascii="宋体" w:hAnsi="宋体" w:cs="宋体"/>
                <w:kern w:val="2"/>
                <w:sz w:val="24"/>
              </w:rPr>
              <w:t>。</w:t>
            </w:r>
          </w:p>
        </w:tc>
      </w:tr>
      <w:tr w14:paraId="3978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1733" w:type="dxa"/>
            <w:vAlign w:val="center"/>
          </w:tcPr>
          <w:p w14:paraId="79B84A79">
            <w:pPr>
              <w:widowControl/>
              <w:tabs>
                <w:tab w:val="left" w:pos="0"/>
              </w:tabs>
              <w:adjustRightInd/>
              <w:snapToGrid w:val="0"/>
              <w:spacing w:line="360" w:lineRule="auto"/>
              <w:jc w:val="center"/>
              <w:textAlignment w:val="auto"/>
              <w:rPr>
                <w:rFonts w:ascii="宋体" w:hAnsi="宋体" w:cs="宋体"/>
                <w:kern w:val="2"/>
                <w:sz w:val="24"/>
              </w:rPr>
            </w:pPr>
            <w:r>
              <w:rPr>
                <w:rFonts w:hint="eastAsia" w:ascii="宋体" w:hAnsi="宋体" w:cs="宋体"/>
                <w:kern w:val="2"/>
                <w:sz w:val="24"/>
              </w:rPr>
              <w:t>灭治蟑螂</w:t>
            </w:r>
          </w:p>
        </w:tc>
        <w:tc>
          <w:tcPr>
            <w:tcW w:w="6789" w:type="dxa"/>
            <w:vAlign w:val="center"/>
          </w:tcPr>
          <w:p w14:paraId="72256E17">
            <w:pPr>
              <w:widowControl/>
              <w:numPr>
                <w:ilvl w:val="0"/>
                <w:numId w:val="8"/>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每月对下水道沙井施放烟熏灭杀蟑螂二次，每次灭蟑需派出3位或以上持有广州市卫生有害生物防制协会颁发的中级资格证书的消毒员。</w:t>
            </w:r>
          </w:p>
          <w:p w14:paraId="34B9C413">
            <w:pPr>
              <w:widowControl/>
              <w:numPr>
                <w:ilvl w:val="0"/>
                <w:numId w:val="8"/>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每月对全院进行三次蟑螂防治，行政二楼饭堂区域每</w:t>
            </w:r>
            <w:r>
              <w:rPr>
                <w:rFonts w:hint="eastAsia" w:ascii="宋体" w:hAnsi="宋体" w:cs="宋体"/>
                <w:b/>
                <w:kern w:val="2"/>
                <w:sz w:val="24"/>
              </w:rPr>
              <w:t>周</w:t>
            </w:r>
            <w:r>
              <w:rPr>
                <w:rFonts w:hint="eastAsia" w:ascii="宋体" w:hAnsi="宋体" w:cs="宋体"/>
                <w:kern w:val="2"/>
                <w:sz w:val="24"/>
              </w:rPr>
              <w:t>一次；</w:t>
            </w:r>
          </w:p>
          <w:p w14:paraId="36BCE539">
            <w:pPr>
              <w:widowControl/>
              <w:numPr>
                <w:ilvl w:val="0"/>
                <w:numId w:val="8"/>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中标人承诺签订合同后第一个月内在食堂厨房、药房、宿舍、病房等蟑螂容易栖息、隐藏的楼房进行一次全面的检查灭治；</w:t>
            </w:r>
          </w:p>
          <w:p w14:paraId="2B9A3E70">
            <w:pPr>
              <w:widowControl/>
              <w:numPr>
                <w:ilvl w:val="0"/>
                <w:numId w:val="8"/>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针对采购人提出有蟑螂的位置，中标人需在12-24小时内派出人员到采购指定位置灭治蟑螂。</w:t>
            </w:r>
          </w:p>
          <w:p w14:paraId="6C9A9DFF">
            <w:pPr>
              <w:widowControl/>
              <w:numPr>
                <w:ilvl w:val="0"/>
                <w:numId w:val="8"/>
              </w:numPr>
              <w:tabs>
                <w:tab w:val="left" w:pos="0"/>
              </w:tabs>
              <w:adjustRightInd/>
              <w:snapToGrid w:val="0"/>
              <w:spacing w:line="360" w:lineRule="auto"/>
              <w:jc w:val="left"/>
              <w:textAlignment w:val="auto"/>
              <w:rPr>
                <w:rFonts w:ascii="宋体" w:hAnsi="宋体" w:cs="宋体"/>
                <w:kern w:val="2"/>
                <w:sz w:val="24"/>
              </w:rPr>
            </w:pPr>
            <w:r>
              <w:rPr>
                <w:rFonts w:hint="eastAsia" w:ascii="宋体" w:hAnsi="宋体" w:cs="宋体"/>
                <w:kern w:val="2"/>
                <w:sz w:val="24"/>
              </w:rPr>
              <w:t>灭</w:t>
            </w:r>
            <w:r>
              <w:rPr>
                <w:rFonts w:ascii="宋体" w:hAnsi="宋体" w:cs="宋体"/>
                <w:kern w:val="2"/>
                <w:sz w:val="24"/>
              </w:rPr>
              <w:t>治</w:t>
            </w:r>
            <w:r>
              <w:rPr>
                <w:rFonts w:hint="eastAsia" w:ascii="宋体" w:hAnsi="宋体" w:cs="宋体"/>
                <w:kern w:val="2"/>
                <w:sz w:val="24"/>
              </w:rPr>
              <w:t>后一周</w:t>
            </w:r>
            <w:r>
              <w:rPr>
                <w:rFonts w:ascii="宋体" w:hAnsi="宋体" w:cs="宋体"/>
                <w:kern w:val="2"/>
                <w:sz w:val="24"/>
              </w:rPr>
              <w:t>内</w:t>
            </w:r>
            <w:r>
              <w:rPr>
                <w:rFonts w:hint="eastAsia" w:ascii="宋体" w:hAnsi="宋体" w:cs="宋体"/>
                <w:kern w:val="2"/>
                <w:sz w:val="24"/>
              </w:rPr>
              <w:t>进行</w:t>
            </w:r>
            <w:r>
              <w:rPr>
                <w:rFonts w:ascii="宋体" w:hAnsi="宋体" w:cs="宋体"/>
                <w:kern w:val="2"/>
                <w:sz w:val="24"/>
              </w:rPr>
              <w:t>复查</w:t>
            </w:r>
            <w:r>
              <w:rPr>
                <w:rFonts w:hint="eastAsia" w:ascii="宋体" w:hAnsi="宋体" w:cs="宋体"/>
                <w:kern w:val="2"/>
                <w:sz w:val="24"/>
              </w:rPr>
              <w:t>跟进</w:t>
            </w:r>
            <w:r>
              <w:rPr>
                <w:rFonts w:ascii="宋体" w:hAnsi="宋体" w:cs="宋体"/>
                <w:kern w:val="2"/>
                <w:sz w:val="24"/>
              </w:rPr>
              <w:t>，确保灭</w:t>
            </w:r>
            <w:r>
              <w:rPr>
                <w:rFonts w:hint="eastAsia" w:ascii="宋体" w:hAnsi="宋体" w:cs="宋体"/>
                <w:kern w:val="2"/>
                <w:sz w:val="24"/>
              </w:rPr>
              <w:t>治</w:t>
            </w:r>
            <w:r>
              <w:rPr>
                <w:rFonts w:ascii="宋体" w:hAnsi="宋体" w:cs="宋体"/>
                <w:kern w:val="2"/>
                <w:sz w:val="24"/>
              </w:rPr>
              <w:t>效果</w:t>
            </w:r>
            <w:r>
              <w:rPr>
                <w:rFonts w:hint="eastAsia" w:ascii="宋体" w:hAnsi="宋体" w:cs="宋体"/>
                <w:kern w:val="2"/>
                <w:sz w:val="24"/>
              </w:rPr>
              <w:t>。</w:t>
            </w:r>
          </w:p>
        </w:tc>
      </w:tr>
      <w:tr w14:paraId="1B86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33" w:type="dxa"/>
            <w:vAlign w:val="center"/>
          </w:tcPr>
          <w:p w14:paraId="261A6B1E">
            <w:pPr>
              <w:widowControl/>
              <w:tabs>
                <w:tab w:val="left" w:pos="0"/>
              </w:tabs>
              <w:adjustRightInd/>
              <w:snapToGrid w:val="0"/>
              <w:spacing w:line="360" w:lineRule="auto"/>
              <w:jc w:val="center"/>
              <w:textAlignment w:val="auto"/>
              <w:rPr>
                <w:rFonts w:ascii="宋体" w:hAnsi="宋体" w:cs="宋体"/>
                <w:kern w:val="2"/>
                <w:sz w:val="24"/>
              </w:rPr>
            </w:pPr>
            <w:r>
              <w:rPr>
                <w:rFonts w:hint="eastAsia" w:ascii="宋体" w:hAnsi="宋体" w:cs="宋体"/>
                <w:kern w:val="2"/>
                <w:sz w:val="24"/>
              </w:rPr>
              <w:t>灭治跳蚤</w:t>
            </w:r>
          </w:p>
        </w:tc>
        <w:tc>
          <w:tcPr>
            <w:tcW w:w="6789" w:type="dxa"/>
            <w:vAlign w:val="center"/>
          </w:tcPr>
          <w:p w14:paraId="54FFB9AD">
            <w:pPr>
              <w:pStyle w:val="16"/>
              <w:widowControl/>
              <w:numPr>
                <w:ilvl w:val="0"/>
                <w:numId w:val="9"/>
              </w:numPr>
              <w:tabs>
                <w:tab w:val="left" w:pos="0"/>
              </w:tabs>
              <w:adjustRightInd/>
              <w:snapToGrid w:val="0"/>
              <w:spacing w:line="360" w:lineRule="auto"/>
              <w:ind w:firstLineChars="0"/>
              <w:jc w:val="left"/>
              <w:textAlignment w:val="auto"/>
              <w:rPr>
                <w:rFonts w:ascii="宋体" w:hAnsi="宋体" w:cs="宋体"/>
                <w:kern w:val="2"/>
                <w:sz w:val="24"/>
              </w:rPr>
            </w:pPr>
            <w:r>
              <w:rPr>
                <w:rFonts w:hint="eastAsia" w:ascii="宋体" w:hAnsi="宋体" w:cs="宋体"/>
                <w:kern w:val="2"/>
                <w:sz w:val="24"/>
              </w:rPr>
              <w:t>针对采购人提出有跳蚤</w:t>
            </w:r>
            <w:r>
              <w:rPr>
                <w:rFonts w:ascii="宋体" w:hAnsi="宋体" w:cs="宋体"/>
                <w:kern w:val="2"/>
                <w:sz w:val="24"/>
              </w:rPr>
              <w:t>等其他病媒生物</w:t>
            </w:r>
            <w:r>
              <w:rPr>
                <w:rFonts w:hint="eastAsia" w:ascii="宋体" w:hAnsi="宋体" w:cs="宋体"/>
                <w:kern w:val="2"/>
                <w:sz w:val="24"/>
              </w:rPr>
              <w:t>的位置的位置，中标人需在12-24小时内派出人员到采购指定位置灭治。</w:t>
            </w:r>
          </w:p>
          <w:p w14:paraId="21C3D017">
            <w:pPr>
              <w:pStyle w:val="16"/>
              <w:widowControl/>
              <w:numPr>
                <w:ilvl w:val="0"/>
                <w:numId w:val="9"/>
              </w:numPr>
              <w:tabs>
                <w:tab w:val="left" w:pos="0"/>
              </w:tabs>
              <w:adjustRightInd/>
              <w:snapToGrid w:val="0"/>
              <w:spacing w:line="360" w:lineRule="auto"/>
              <w:ind w:firstLineChars="0"/>
              <w:jc w:val="left"/>
              <w:textAlignment w:val="auto"/>
              <w:rPr>
                <w:rFonts w:ascii="宋体" w:hAnsi="宋体" w:cs="宋体"/>
                <w:kern w:val="2"/>
                <w:sz w:val="24"/>
              </w:rPr>
            </w:pPr>
            <w:r>
              <w:rPr>
                <w:rFonts w:hint="eastAsia" w:ascii="宋体" w:hAnsi="宋体" w:cs="宋体"/>
                <w:kern w:val="2"/>
                <w:sz w:val="24"/>
              </w:rPr>
              <w:t>灭</w:t>
            </w:r>
            <w:r>
              <w:rPr>
                <w:rFonts w:ascii="宋体" w:hAnsi="宋体" w:cs="宋体"/>
                <w:kern w:val="2"/>
                <w:sz w:val="24"/>
              </w:rPr>
              <w:t>治</w:t>
            </w:r>
            <w:r>
              <w:rPr>
                <w:rFonts w:hint="eastAsia" w:ascii="宋体" w:hAnsi="宋体" w:cs="宋体"/>
                <w:kern w:val="2"/>
                <w:sz w:val="24"/>
              </w:rPr>
              <w:t>后一周</w:t>
            </w:r>
            <w:r>
              <w:rPr>
                <w:rFonts w:ascii="宋体" w:hAnsi="宋体" w:cs="宋体"/>
                <w:kern w:val="2"/>
                <w:sz w:val="24"/>
              </w:rPr>
              <w:t>内</w:t>
            </w:r>
            <w:r>
              <w:rPr>
                <w:rFonts w:hint="eastAsia" w:ascii="宋体" w:hAnsi="宋体" w:cs="宋体"/>
                <w:kern w:val="2"/>
                <w:sz w:val="24"/>
              </w:rPr>
              <w:t>进行</w:t>
            </w:r>
            <w:r>
              <w:rPr>
                <w:rFonts w:ascii="宋体" w:hAnsi="宋体" w:cs="宋体"/>
                <w:kern w:val="2"/>
                <w:sz w:val="24"/>
              </w:rPr>
              <w:t>复查</w:t>
            </w:r>
            <w:r>
              <w:rPr>
                <w:rFonts w:hint="eastAsia" w:ascii="宋体" w:hAnsi="宋体" w:cs="宋体"/>
                <w:kern w:val="2"/>
                <w:sz w:val="24"/>
              </w:rPr>
              <w:t>跟进</w:t>
            </w:r>
            <w:r>
              <w:rPr>
                <w:rFonts w:ascii="宋体" w:hAnsi="宋体" w:cs="宋体"/>
                <w:kern w:val="2"/>
                <w:sz w:val="24"/>
              </w:rPr>
              <w:t>，确保灭</w:t>
            </w:r>
            <w:r>
              <w:rPr>
                <w:rFonts w:hint="eastAsia" w:ascii="宋体" w:hAnsi="宋体" w:cs="宋体"/>
                <w:kern w:val="2"/>
                <w:sz w:val="24"/>
              </w:rPr>
              <w:t>治</w:t>
            </w:r>
            <w:r>
              <w:rPr>
                <w:rFonts w:ascii="宋体" w:hAnsi="宋体" w:cs="宋体"/>
                <w:kern w:val="2"/>
                <w:sz w:val="24"/>
              </w:rPr>
              <w:t>效果</w:t>
            </w:r>
            <w:r>
              <w:rPr>
                <w:rFonts w:hint="eastAsia" w:ascii="宋体" w:hAnsi="宋体" w:cs="宋体"/>
                <w:kern w:val="2"/>
                <w:sz w:val="24"/>
              </w:rPr>
              <w:t>。</w:t>
            </w:r>
          </w:p>
        </w:tc>
      </w:tr>
    </w:tbl>
    <w:p w14:paraId="16BF5997">
      <w:pPr>
        <w:widowControl/>
        <w:numPr>
          <w:ilvl w:val="0"/>
          <w:numId w:val="4"/>
        </w:numPr>
        <w:tabs>
          <w:tab w:val="left" w:pos="0"/>
        </w:tabs>
        <w:adjustRightInd/>
        <w:snapToGrid w:val="0"/>
        <w:spacing w:line="360" w:lineRule="auto"/>
        <w:ind w:firstLine="424" w:firstLineChars="177"/>
        <w:jc w:val="left"/>
        <w:textAlignment w:val="auto"/>
        <w:outlineLvl w:val="1"/>
        <w:rPr>
          <w:rFonts w:ascii="宋体" w:hAnsi="宋体" w:cs="宋体"/>
          <w:kern w:val="2"/>
          <w:sz w:val="24"/>
        </w:rPr>
      </w:pPr>
      <w:r>
        <w:rPr>
          <w:rFonts w:hint="eastAsia" w:ascii="宋体" w:hAnsi="宋体" w:cs="宋体"/>
          <w:kern w:val="2"/>
          <w:sz w:val="24"/>
        </w:rPr>
        <w:t>中标人承诺如遇虫媒传染病疫情或上级单位要求等突发公共卫生事件，中标人需根据采购人或上级单位（如广州市卫计委、广州市政府、广州市爱卫办等上级政府部门）要求进行灭治工作。</w:t>
      </w:r>
    </w:p>
    <w:p w14:paraId="10055DD3">
      <w:pPr>
        <w:widowControl/>
        <w:numPr>
          <w:ilvl w:val="0"/>
          <w:numId w:val="4"/>
        </w:numPr>
        <w:tabs>
          <w:tab w:val="left" w:pos="0"/>
        </w:tabs>
        <w:adjustRightInd/>
        <w:snapToGrid w:val="0"/>
        <w:spacing w:line="360" w:lineRule="auto"/>
        <w:ind w:left="-116" w:firstLine="480" w:firstLineChars="200"/>
        <w:jc w:val="left"/>
        <w:textAlignment w:val="auto"/>
        <w:outlineLvl w:val="1"/>
        <w:rPr>
          <w:rFonts w:ascii="宋体" w:hAnsi="宋体" w:cs="宋体"/>
          <w:kern w:val="2"/>
          <w:sz w:val="24"/>
        </w:rPr>
      </w:pPr>
      <w:r>
        <w:rPr>
          <w:rFonts w:hint="eastAsia" w:ascii="宋体" w:hAnsi="宋体" w:cs="宋体"/>
          <w:kern w:val="2"/>
          <w:sz w:val="24"/>
        </w:rPr>
        <w:t>中标人项目负责人须具备中级有害生物防制员资格证书</w:t>
      </w:r>
      <w:r>
        <w:rPr>
          <w:rFonts w:hint="eastAsia" w:ascii="宋体" w:hAnsi="宋体" w:cs="宋体"/>
          <w:b/>
          <w:bCs/>
          <w:kern w:val="2"/>
          <w:sz w:val="24"/>
        </w:rPr>
        <w:t>，</w:t>
      </w:r>
      <w:r>
        <w:rPr>
          <w:rFonts w:hint="eastAsia" w:ascii="宋体" w:hAnsi="宋体" w:cs="宋体"/>
          <w:kern w:val="2"/>
          <w:sz w:val="24"/>
        </w:rPr>
        <w:t>且熟悉医院环境特点和除四害工作流程，提供相关资质证书。负责人需有5年以上除四害项目协调或管理工作经验，其中至少3年服务于医院、学校等人员密集场所，提供工作经历证明材料，如原单位开具的工作证明、相关项目合同等。“除四害”服务按《广州市除四害管理规定》、《广东省爱国卫生工作条例》、《广州市灭鼠灭虫服务行业管理办法》及本项目合同的有关要求和标准，确保在服务当日“四害”消杀的效果，控制在达标范围内。</w:t>
      </w:r>
    </w:p>
    <w:p w14:paraId="54115E39">
      <w:pPr>
        <w:widowControl/>
        <w:numPr>
          <w:ilvl w:val="0"/>
          <w:numId w:val="4"/>
        </w:numPr>
        <w:tabs>
          <w:tab w:val="left" w:pos="0"/>
        </w:tabs>
        <w:adjustRightInd/>
        <w:snapToGrid w:val="0"/>
        <w:spacing w:line="360" w:lineRule="auto"/>
        <w:ind w:left="-116" w:firstLine="480" w:firstLineChars="200"/>
        <w:jc w:val="left"/>
        <w:textAlignment w:val="auto"/>
        <w:outlineLvl w:val="1"/>
        <w:rPr>
          <w:rFonts w:ascii="宋体" w:hAnsi="宋体" w:cs="宋体"/>
          <w:kern w:val="2"/>
          <w:sz w:val="24"/>
        </w:rPr>
      </w:pPr>
      <w:r>
        <w:rPr>
          <w:rFonts w:hint="eastAsia" w:ascii="宋体" w:hAnsi="宋体" w:cs="宋体"/>
          <w:kern w:val="2"/>
          <w:sz w:val="24"/>
        </w:rPr>
        <w:t>每次作业完成后，中标人需将“灭治蚊子”“灭治苍蝇”、“灭治老鼠”、“灭治蟑螂”等服务记录表提供给采购人确认。</w:t>
      </w:r>
    </w:p>
    <w:p w14:paraId="23B5103C">
      <w:pPr>
        <w:widowControl/>
        <w:numPr>
          <w:ilvl w:val="0"/>
          <w:numId w:val="4"/>
        </w:numPr>
        <w:tabs>
          <w:tab w:val="left" w:pos="0"/>
        </w:tabs>
        <w:adjustRightInd/>
        <w:snapToGrid w:val="0"/>
        <w:spacing w:line="360" w:lineRule="auto"/>
        <w:ind w:left="-116" w:firstLine="480" w:firstLineChars="200"/>
        <w:jc w:val="left"/>
        <w:textAlignment w:val="auto"/>
        <w:outlineLvl w:val="1"/>
        <w:rPr>
          <w:rFonts w:ascii="宋体" w:hAnsi="宋体" w:cs="宋体"/>
          <w:kern w:val="2"/>
          <w:sz w:val="24"/>
        </w:rPr>
      </w:pPr>
      <w:r>
        <w:rPr>
          <w:rFonts w:hint="eastAsia" w:ascii="宋体" w:hAnsi="宋体" w:cs="宋体"/>
          <w:kern w:val="2"/>
          <w:sz w:val="24"/>
        </w:rPr>
        <w:t>岗位服务人员要严格遵守灭鼠杀虫防治技术操作规程文明作业，穿着统一工作服和佩戴工作证。</w:t>
      </w:r>
    </w:p>
    <w:p w14:paraId="05849486">
      <w:pPr>
        <w:widowControl/>
        <w:numPr>
          <w:ilvl w:val="0"/>
          <w:numId w:val="4"/>
        </w:numPr>
        <w:tabs>
          <w:tab w:val="left" w:pos="0"/>
        </w:tabs>
        <w:adjustRightInd/>
        <w:snapToGrid w:val="0"/>
        <w:spacing w:line="360" w:lineRule="auto"/>
        <w:ind w:left="-116" w:firstLine="480" w:firstLineChars="200"/>
        <w:jc w:val="left"/>
        <w:textAlignment w:val="auto"/>
        <w:outlineLvl w:val="1"/>
        <w:rPr>
          <w:rFonts w:ascii="宋体" w:hAnsi="宋体" w:cs="宋体"/>
          <w:kern w:val="2"/>
          <w:sz w:val="24"/>
        </w:rPr>
      </w:pPr>
      <w:r>
        <w:rPr>
          <w:rFonts w:hint="eastAsia" w:ascii="宋体" w:hAnsi="宋体" w:cs="宋体"/>
          <w:kern w:val="2"/>
          <w:sz w:val="24"/>
        </w:rPr>
        <w:t>有责任建议和指导采购人防鼠、防蚊设施的安装和做好日常鼠虫害防治的巩固、宣传工作。建议采购人对容易滋生虫害的场地进行改造。</w:t>
      </w:r>
    </w:p>
    <w:p w14:paraId="43BB8A3E">
      <w:pPr>
        <w:widowControl/>
        <w:numPr>
          <w:ilvl w:val="0"/>
          <w:numId w:val="4"/>
        </w:numPr>
        <w:tabs>
          <w:tab w:val="left" w:pos="0"/>
        </w:tabs>
        <w:adjustRightInd/>
        <w:snapToGrid w:val="0"/>
        <w:spacing w:line="360" w:lineRule="auto"/>
        <w:ind w:left="-116" w:firstLine="480" w:firstLineChars="200"/>
        <w:jc w:val="left"/>
        <w:textAlignment w:val="auto"/>
        <w:outlineLvl w:val="1"/>
        <w:rPr>
          <w:rFonts w:ascii="宋体" w:hAnsi="宋体" w:cs="宋体"/>
          <w:kern w:val="2"/>
          <w:sz w:val="24"/>
        </w:rPr>
      </w:pPr>
      <w:r>
        <w:rPr>
          <w:rFonts w:hint="eastAsia" w:ascii="宋体" w:hAnsi="宋体" w:cs="宋体"/>
          <w:kern w:val="2"/>
          <w:sz w:val="24"/>
        </w:rPr>
        <w:t>中标人承诺用于在采购人的“除四害”的药物，必须是高效低毒、安全、对人畜及环境无害、无味且符合国家“三证”或使用全国或市爱卫会专家委员会推荐和认定的药物。不同场所不同时期根据现场需要选用不同药剂交替或综合使用，按照厂家规定剂量和施药方法，保证效果，具体参考药剂如下：</w:t>
      </w:r>
    </w:p>
    <w:p w14:paraId="37A36266">
      <w:pPr>
        <w:widowControl/>
        <w:numPr>
          <w:ilvl w:val="0"/>
          <w:numId w:val="10"/>
        </w:numPr>
        <w:tabs>
          <w:tab w:val="left" w:pos="0"/>
        </w:tabs>
        <w:adjustRightInd/>
        <w:snapToGrid w:val="0"/>
        <w:spacing w:line="360" w:lineRule="auto"/>
        <w:ind w:left="0" w:firstLine="424" w:firstLineChars="177"/>
        <w:jc w:val="left"/>
        <w:textAlignment w:val="auto"/>
        <w:outlineLvl w:val="2"/>
        <w:rPr>
          <w:rFonts w:ascii="宋体" w:hAnsi="宋体" w:cs="宋体"/>
          <w:kern w:val="2"/>
          <w:sz w:val="24"/>
        </w:rPr>
      </w:pPr>
      <w:bookmarkStart w:id="3" w:name="_Hlk65230201"/>
      <w:r>
        <w:rPr>
          <w:rFonts w:hint="eastAsia" w:ascii="宋体" w:hAnsi="宋体" w:cs="宋体"/>
          <w:kern w:val="2"/>
          <w:sz w:val="24"/>
        </w:rPr>
        <w:t>灭鼠：投标人所选用产品质量应相当或优于以下参考内容：0.005%氟鼠灵；0.005%溴鼠灵、鼠板、其它捕鼠器械，根据场地及采购人意愿选择施药或投放器械。</w:t>
      </w:r>
    </w:p>
    <w:p w14:paraId="6D5D2CF9">
      <w:pPr>
        <w:widowControl/>
        <w:numPr>
          <w:ilvl w:val="0"/>
          <w:numId w:val="10"/>
        </w:numPr>
        <w:tabs>
          <w:tab w:val="left" w:pos="0"/>
        </w:tabs>
        <w:adjustRightInd/>
        <w:snapToGrid w:val="0"/>
        <w:spacing w:line="360" w:lineRule="auto"/>
        <w:ind w:left="0" w:firstLine="424" w:firstLineChars="177"/>
        <w:jc w:val="left"/>
        <w:textAlignment w:val="auto"/>
        <w:outlineLvl w:val="2"/>
        <w:rPr>
          <w:rFonts w:ascii="宋体" w:hAnsi="宋体" w:cs="宋体"/>
          <w:kern w:val="2"/>
          <w:sz w:val="24"/>
        </w:rPr>
      </w:pPr>
      <w:r>
        <w:rPr>
          <w:rFonts w:hint="eastAsia" w:ascii="宋体" w:hAnsi="宋体" w:cs="宋体"/>
          <w:kern w:val="2"/>
          <w:sz w:val="24"/>
        </w:rPr>
        <w:t>灭蚊蝇：投标人所选用产品质量应相当或优于以下参考内容：氨基甲酸酯类或除虫菊酯类药物。2.5%高效氯氟氰菊酯；氟氯氰菊酯；甲基嘧啶磷；5%倍硫磷。灭幼虫和成虫相结合，控制滋生源，保持长效。</w:t>
      </w:r>
    </w:p>
    <w:p w14:paraId="2C65F3F4">
      <w:pPr>
        <w:widowControl/>
        <w:numPr>
          <w:ilvl w:val="0"/>
          <w:numId w:val="10"/>
        </w:numPr>
        <w:tabs>
          <w:tab w:val="left" w:pos="0"/>
        </w:tabs>
        <w:adjustRightInd/>
        <w:snapToGrid w:val="0"/>
        <w:spacing w:line="360" w:lineRule="auto"/>
        <w:ind w:left="0" w:firstLine="424" w:firstLineChars="177"/>
        <w:jc w:val="left"/>
        <w:textAlignment w:val="auto"/>
        <w:outlineLvl w:val="2"/>
        <w:rPr>
          <w:rFonts w:ascii="宋体" w:hAnsi="宋体" w:cs="宋体"/>
          <w:kern w:val="2"/>
          <w:sz w:val="24"/>
        </w:rPr>
      </w:pPr>
      <w:r>
        <w:rPr>
          <w:rFonts w:hint="eastAsia" w:ascii="宋体" w:hAnsi="宋体" w:cs="宋体"/>
          <w:kern w:val="2"/>
          <w:sz w:val="24"/>
        </w:rPr>
        <w:t>灭蟑螂：投标人所选用产品质量应相当或优于以下参考内容：10%高效氟氯氰菊酯21%吡虫啉；2.15%吡虫啉；溴氰菊酯；5%残杀威5%右旋苯醚氰菊酯。使用无污染长效超低毒粘着传染剂型为主。</w:t>
      </w:r>
    </w:p>
    <w:p w14:paraId="74A6CCEF">
      <w:pPr>
        <w:widowControl/>
        <w:numPr>
          <w:ilvl w:val="0"/>
          <w:numId w:val="4"/>
        </w:numPr>
        <w:tabs>
          <w:tab w:val="left" w:pos="0"/>
        </w:tabs>
        <w:adjustRightInd/>
        <w:snapToGrid w:val="0"/>
        <w:spacing w:line="360" w:lineRule="auto"/>
        <w:ind w:left="-116" w:firstLine="480" w:firstLineChars="200"/>
        <w:jc w:val="left"/>
        <w:textAlignment w:val="auto"/>
        <w:outlineLvl w:val="1"/>
        <w:rPr>
          <w:rFonts w:ascii="宋体" w:hAnsi="宋体" w:cs="宋体"/>
          <w:kern w:val="2"/>
          <w:sz w:val="24"/>
        </w:rPr>
      </w:pPr>
      <w:r>
        <w:rPr>
          <w:rFonts w:hint="eastAsia" w:ascii="宋体" w:hAnsi="宋体" w:cs="宋体"/>
          <w:kern w:val="2"/>
          <w:sz w:val="24"/>
        </w:rPr>
        <w:t>投标人须提供近3年内至少3个包含医院（三甲医院、社区卫生服务中心优先）和企事业单位的除四害服务项目业绩合同，要求业绩项目中至少有1个在服务期内经历过虫媒传染病疫情防控工作且防控效果良好的项目，并提供相关证明材料。</w:t>
      </w:r>
    </w:p>
    <w:bookmarkEnd w:id="3"/>
    <w:p w14:paraId="745504F1">
      <w:pPr>
        <w:numPr>
          <w:ilvl w:val="0"/>
          <w:numId w:val="1"/>
        </w:numPr>
        <w:tabs>
          <w:tab w:val="left" w:pos="840"/>
        </w:tabs>
        <w:adjustRightInd/>
        <w:snapToGrid w:val="0"/>
        <w:spacing w:line="360" w:lineRule="auto"/>
        <w:ind w:firstLine="0"/>
        <w:textAlignment w:val="auto"/>
        <w:outlineLvl w:val="1"/>
        <w:rPr>
          <w:rFonts w:ascii="宋体" w:hAnsi="宋体"/>
          <w:b/>
          <w:kern w:val="2"/>
          <w:sz w:val="24"/>
        </w:rPr>
      </w:pPr>
      <w:r>
        <w:rPr>
          <w:rFonts w:hint="eastAsia" w:ascii="宋体" w:hAnsi="宋体"/>
          <w:b/>
          <w:kern w:val="2"/>
          <w:sz w:val="24"/>
        </w:rPr>
        <w:t>服务质量</w:t>
      </w:r>
    </w:p>
    <w:p w14:paraId="4A0FD783">
      <w:pPr>
        <w:tabs>
          <w:tab w:val="left" w:pos="3780"/>
        </w:tabs>
        <w:adjustRightInd/>
        <w:snapToGrid w:val="0"/>
        <w:spacing w:line="360" w:lineRule="auto"/>
        <w:ind w:firstLine="283" w:firstLineChars="118"/>
        <w:textAlignment w:val="auto"/>
        <w:rPr>
          <w:rFonts w:ascii="宋体" w:hAnsi="宋体" w:cs="宋体"/>
          <w:kern w:val="2"/>
          <w:sz w:val="24"/>
        </w:rPr>
      </w:pPr>
      <w:r>
        <w:rPr>
          <w:rFonts w:hint="eastAsia" w:ascii="宋体" w:hAnsi="宋体" w:cs="宋体"/>
          <w:kern w:val="2"/>
          <w:sz w:val="24"/>
        </w:rPr>
        <w:t>1. 灭蚊和灭蝇：达到国家爱卫会创建卫生城市的要求和标准；</w:t>
      </w:r>
    </w:p>
    <w:p w14:paraId="149D1754">
      <w:pPr>
        <w:tabs>
          <w:tab w:val="left" w:pos="3780"/>
        </w:tabs>
        <w:adjustRightInd/>
        <w:snapToGrid w:val="0"/>
        <w:spacing w:line="360" w:lineRule="auto"/>
        <w:ind w:firstLine="283" w:firstLineChars="118"/>
        <w:textAlignment w:val="auto"/>
        <w:rPr>
          <w:rFonts w:ascii="宋体" w:hAnsi="宋体" w:cs="宋体"/>
          <w:kern w:val="2"/>
          <w:sz w:val="24"/>
        </w:rPr>
      </w:pPr>
      <w:r>
        <w:rPr>
          <w:rFonts w:hint="eastAsia" w:ascii="宋体" w:hAnsi="宋体" w:cs="宋体"/>
          <w:kern w:val="2"/>
          <w:sz w:val="24"/>
        </w:rPr>
        <w:t>2. 四害密度应达到《中华人民共和国国家标准病媒生物密度控制水平》（GB/T27770-2011鼠类”、“GB/T27771-2011蚊虫”、“GB/T27772-2011蝇类”、“GB/T27773-2011蜚蠊）规定的要求。</w:t>
      </w:r>
    </w:p>
    <w:p w14:paraId="5DA733F9"/>
    <w:p w14:paraId="6B10DE5C"/>
    <w:p w14:paraId="542ABD8E">
      <w:pPr>
        <w:jc w:val="right"/>
      </w:pPr>
      <w:r>
        <w:t>广州医科大学附属第三医院</w:t>
      </w:r>
    </w:p>
    <w:p w14:paraId="5853E668">
      <w:pPr>
        <w:jc w:val="right"/>
      </w:pPr>
      <w:r>
        <w:rPr>
          <w:rFonts w:hint="eastAsia"/>
        </w:rPr>
        <w:t>2025年</w:t>
      </w:r>
      <w:r>
        <w:rPr>
          <w:rFonts w:hint="eastAsia"/>
          <w:lang w:val="en-US" w:eastAsia="zh-CN"/>
        </w:rPr>
        <w:t>11</w:t>
      </w:r>
      <w:r>
        <w:rPr>
          <w:rFonts w:hint="eastAsia"/>
        </w:rPr>
        <w:t>月</w:t>
      </w:r>
      <w:r>
        <w:rPr>
          <w:rFonts w:hint="eastAsia"/>
          <w:lang w:val="en-US" w:eastAsia="zh-CN"/>
        </w:rPr>
        <w:t>1</w:t>
      </w:r>
      <w:r>
        <w:rPr>
          <w:rFonts w:hint="eastAsia"/>
        </w:rPr>
        <w:t>2日</w:t>
      </w:r>
    </w:p>
    <w:p w14:paraId="275A8587">
      <w:pPr>
        <w:rPr>
          <w:b/>
          <w:sz w:val="28"/>
          <w:szCs w:val="28"/>
        </w:rPr>
      </w:pPr>
      <w:r>
        <w:rPr>
          <w:rFonts w:hint="eastAsia"/>
          <w:b/>
          <w:sz w:val="28"/>
          <w:szCs w:val="28"/>
        </w:rPr>
        <w:t>报价文件：</w:t>
      </w:r>
    </w:p>
    <w:p w14:paraId="6D67BA6C">
      <w:pPr>
        <w:rPr>
          <w:rFonts w:ascii="宋体" w:hAnsi="宋体"/>
          <w:b/>
          <w:bCs/>
          <w:color w:val="000000"/>
          <w:sz w:val="28"/>
          <w:szCs w:val="28"/>
        </w:rPr>
      </w:pPr>
      <w:r>
        <w:rPr>
          <w:rFonts w:hint="eastAsia" w:ascii="宋体" w:hAnsi="宋体"/>
          <w:b/>
          <w:bCs/>
          <w:color w:val="000000"/>
          <w:sz w:val="28"/>
          <w:szCs w:val="28"/>
        </w:rPr>
        <w:t>兹收到贵单位询价邀请函，现就贵院需求作以下报价：</w:t>
      </w:r>
    </w:p>
    <w:p w14:paraId="0DCE60B3">
      <w:pPr>
        <w:rPr>
          <w:rFonts w:ascii="宋体" w:hAnsi="宋体" w:cs="宋体"/>
          <w:b/>
          <w:bCs/>
          <w:color w:val="000000"/>
          <w:sz w:val="28"/>
          <w:szCs w:val="28"/>
        </w:rPr>
      </w:pPr>
      <w:r>
        <w:rPr>
          <w:rFonts w:hint="eastAsia" w:ascii="宋体" w:hAnsi="宋体" w:cs="宋体"/>
          <w:b/>
          <w:bCs/>
          <w:color w:val="000000"/>
          <w:sz w:val="28"/>
          <w:szCs w:val="28"/>
        </w:rPr>
        <w:t>1、四害</w:t>
      </w:r>
    </w:p>
    <w:tbl>
      <w:tblPr>
        <w:tblStyle w:val="6"/>
        <w:tblpPr w:leftFromText="180" w:rightFromText="180" w:vertAnchor="text" w:horzAnchor="page" w:tblpX="1334" w:tblpY="119"/>
        <w:tblOverlap w:val="never"/>
        <w:tblW w:w="9889" w:type="dxa"/>
        <w:tblInd w:w="0" w:type="dxa"/>
        <w:tblLayout w:type="fixed"/>
        <w:tblCellMar>
          <w:top w:w="0" w:type="dxa"/>
          <w:left w:w="108" w:type="dxa"/>
          <w:bottom w:w="0" w:type="dxa"/>
          <w:right w:w="108" w:type="dxa"/>
        </w:tblCellMar>
      </w:tblPr>
      <w:tblGrid>
        <w:gridCol w:w="1809"/>
        <w:gridCol w:w="4195"/>
        <w:gridCol w:w="2026"/>
        <w:gridCol w:w="1859"/>
      </w:tblGrid>
      <w:tr w14:paraId="4BE9E145">
        <w:tblPrEx>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74E22D44">
            <w:pPr>
              <w:jc w:val="center"/>
              <w:rPr>
                <w:rFonts w:ascii="新宋体" w:hAnsi="新宋体" w:eastAsia="新宋体" w:cs="新宋体"/>
                <w:b/>
                <w:sz w:val="28"/>
                <w:szCs w:val="28"/>
              </w:rPr>
            </w:pPr>
            <w:r>
              <w:rPr>
                <w:rFonts w:hint="eastAsia" w:ascii="新宋体" w:hAnsi="新宋体" w:eastAsia="新宋体" w:cs="新宋体"/>
                <w:b/>
                <w:sz w:val="28"/>
                <w:szCs w:val="28"/>
              </w:rPr>
              <w:t>项目</w:t>
            </w:r>
          </w:p>
        </w:tc>
        <w:tc>
          <w:tcPr>
            <w:tcW w:w="4195" w:type="dxa"/>
            <w:tcBorders>
              <w:top w:val="single" w:color="auto" w:sz="4" w:space="0"/>
              <w:left w:val="single" w:color="auto" w:sz="4" w:space="0"/>
              <w:bottom w:val="single" w:color="auto" w:sz="4" w:space="0"/>
              <w:right w:val="single" w:color="auto" w:sz="4" w:space="0"/>
            </w:tcBorders>
            <w:vAlign w:val="center"/>
          </w:tcPr>
          <w:p w14:paraId="426968BC">
            <w:pPr>
              <w:jc w:val="center"/>
              <w:rPr>
                <w:rFonts w:ascii="新宋体" w:hAnsi="新宋体" w:eastAsia="新宋体" w:cs="新宋体"/>
                <w:b/>
                <w:sz w:val="28"/>
                <w:szCs w:val="28"/>
              </w:rPr>
            </w:pPr>
            <w:r>
              <w:rPr>
                <w:rFonts w:hint="eastAsia" w:ascii="新宋体" w:hAnsi="新宋体" w:eastAsia="新宋体" w:cs="新宋体"/>
                <w:b/>
                <w:sz w:val="28"/>
                <w:szCs w:val="28"/>
              </w:rPr>
              <w:t>范围</w:t>
            </w:r>
          </w:p>
        </w:tc>
        <w:tc>
          <w:tcPr>
            <w:tcW w:w="2026" w:type="dxa"/>
            <w:tcBorders>
              <w:top w:val="single" w:color="auto" w:sz="4" w:space="0"/>
              <w:left w:val="single" w:color="auto" w:sz="4" w:space="0"/>
              <w:bottom w:val="single" w:color="auto" w:sz="4" w:space="0"/>
              <w:right w:val="single" w:color="auto" w:sz="4" w:space="0"/>
            </w:tcBorders>
            <w:vAlign w:val="center"/>
          </w:tcPr>
          <w:p w14:paraId="320FEE3C">
            <w:pPr>
              <w:jc w:val="center"/>
              <w:rPr>
                <w:rFonts w:ascii="新宋体" w:hAnsi="新宋体" w:eastAsia="新宋体" w:cs="新宋体"/>
                <w:b/>
                <w:sz w:val="28"/>
                <w:szCs w:val="28"/>
              </w:rPr>
            </w:pPr>
            <w:r>
              <w:rPr>
                <w:rFonts w:hint="eastAsia" w:ascii="新宋体" w:hAnsi="新宋体" w:eastAsia="新宋体" w:cs="新宋体"/>
                <w:b/>
                <w:sz w:val="28"/>
                <w:szCs w:val="28"/>
              </w:rPr>
              <w:t>頻率</w:t>
            </w:r>
          </w:p>
        </w:tc>
        <w:tc>
          <w:tcPr>
            <w:tcW w:w="1859" w:type="dxa"/>
            <w:tcBorders>
              <w:top w:val="single" w:color="auto" w:sz="4" w:space="0"/>
              <w:left w:val="single" w:color="auto" w:sz="4" w:space="0"/>
              <w:bottom w:val="single" w:color="auto" w:sz="4" w:space="0"/>
              <w:right w:val="single" w:color="auto" w:sz="4" w:space="0"/>
            </w:tcBorders>
            <w:vAlign w:val="center"/>
          </w:tcPr>
          <w:p w14:paraId="7404AE55">
            <w:pPr>
              <w:jc w:val="center"/>
              <w:rPr>
                <w:rFonts w:ascii="新宋体" w:hAnsi="新宋体" w:eastAsia="新宋体" w:cs="新宋体"/>
                <w:b/>
                <w:sz w:val="28"/>
                <w:szCs w:val="28"/>
              </w:rPr>
            </w:pPr>
            <w:r>
              <w:rPr>
                <w:rFonts w:hint="eastAsia" w:ascii="新宋体" w:hAnsi="新宋体" w:eastAsia="新宋体" w:cs="新宋体"/>
                <w:b/>
                <w:sz w:val="28"/>
                <w:szCs w:val="28"/>
              </w:rPr>
              <w:t>费用/月</w:t>
            </w:r>
          </w:p>
        </w:tc>
      </w:tr>
      <w:tr w14:paraId="08EBEFAE">
        <w:tblPrEx>
          <w:tblCellMar>
            <w:top w:w="0" w:type="dxa"/>
            <w:left w:w="108" w:type="dxa"/>
            <w:bottom w:w="0" w:type="dxa"/>
            <w:right w:w="108" w:type="dxa"/>
          </w:tblCellMar>
        </w:tblPrEx>
        <w:trPr>
          <w:trHeight w:val="1319" w:hRule="atLeast"/>
        </w:trPr>
        <w:tc>
          <w:tcPr>
            <w:tcW w:w="1809" w:type="dxa"/>
            <w:tcBorders>
              <w:top w:val="single" w:color="auto" w:sz="4" w:space="0"/>
              <w:left w:val="single" w:color="auto" w:sz="4" w:space="0"/>
              <w:bottom w:val="single" w:color="auto" w:sz="4" w:space="0"/>
              <w:right w:val="single" w:color="auto" w:sz="4" w:space="0"/>
            </w:tcBorders>
            <w:vAlign w:val="center"/>
          </w:tcPr>
          <w:p w14:paraId="0E147D3B">
            <w:pPr>
              <w:jc w:val="left"/>
              <w:rPr>
                <w:rFonts w:ascii="宋体" w:hAnsi="宋体" w:cs="Arial"/>
                <w:color w:val="000000"/>
                <w:sz w:val="24"/>
                <w:szCs w:val="28"/>
              </w:rPr>
            </w:pPr>
            <w:r>
              <w:rPr>
                <w:rFonts w:hint="eastAsia" w:ascii="宋体" w:hAnsi="宋体" w:cs="Arial"/>
                <w:color w:val="000000"/>
                <w:sz w:val="24"/>
                <w:szCs w:val="28"/>
              </w:rPr>
              <w:t>老鼠、蟑螂、苍蝇、蚊子、跳蚤</w:t>
            </w:r>
            <w:r>
              <w:rPr>
                <w:rFonts w:hint="eastAsia"/>
                <w:bCs/>
                <w:sz w:val="24"/>
              </w:rPr>
              <w:t>等</w:t>
            </w:r>
            <w:r>
              <w:rPr>
                <w:bCs/>
                <w:sz w:val="24"/>
              </w:rPr>
              <w:t>病媒生物</w:t>
            </w:r>
            <w:r>
              <w:rPr>
                <w:rFonts w:hint="eastAsia"/>
                <w:bCs/>
                <w:sz w:val="24"/>
              </w:rPr>
              <w:t>灭治服务</w:t>
            </w:r>
          </w:p>
        </w:tc>
        <w:tc>
          <w:tcPr>
            <w:tcW w:w="4195" w:type="dxa"/>
            <w:tcBorders>
              <w:top w:val="single" w:color="auto" w:sz="4" w:space="0"/>
              <w:left w:val="single" w:color="auto" w:sz="4" w:space="0"/>
              <w:bottom w:val="single" w:color="auto" w:sz="4" w:space="0"/>
              <w:right w:val="single" w:color="auto" w:sz="4" w:space="0"/>
            </w:tcBorders>
            <w:vAlign w:val="center"/>
          </w:tcPr>
          <w:p w14:paraId="4AAC7773">
            <w:pPr>
              <w:tabs>
                <w:tab w:val="left" w:pos="1418"/>
              </w:tabs>
              <w:jc w:val="left"/>
              <w:rPr>
                <w:rFonts w:ascii="宋体" w:hAnsi="宋体" w:cs="Arial"/>
                <w:color w:val="000000"/>
                <w:sz w:val="24"/>
                <w:szCs w:val="28"/>
              </w:rPr>
            </w:pPr>
            <w:r>
              <w:rPr>
                <w:rFonts w:hint="eastAsia" w:ascii="宋体" w:hAnsi="宋体" w:cs="Arial"/>
                <w:color w:val="000000"/>
                <w:sz w:val="24"/>
                <w:szCs w:val="28"/>
              </w:rPr>
              <w:t>广州医科大学附属第三医院黄埔院区全场区域包含门诊大楼、住院大楼、行政大楼，中心花园，建筑外围等</w:t>
            </w:r>
          </w:p>
        </w:tc>
        <w:tc>
          <w:tcPr>
            <w:tcW w:w="2026" w:type="dxa"/>
            <w:tcBorders>
              <w:top w:val="single" w:color="auto" w:sz="4" w:space="0"/>
              <w:left w:val="single" w:color="auto" w:sz="4" w:space="0"/>
              <w:bottom w:val="single" w:color="auto" w:sz="4" w:space="0"/>
              <w:right w:val="single" w:color="auto" w:sz="4" w:space="0"/>
            </w:tcBorders>
            <w:vAlign w:val="center"/>
          </w:tcPr>
          <w:p w14:paraId="5658ADB5">
            <w:pPr>
              <w:jc w:val="left"/>
              <w:rPr>
                <w:rFonts w:ascii="宋体" w:hAnsi="宋体" w:cs="Arial"/>
                <w:color w:val="000000"/>
                <w:sz w:val="24"/>
                <w:szCs w:val="28"/>
              </w:rPr>
            </w:pPr>
            <w:r>
              <w:rPr>
                <w:rFonts w:hint="eastAsia" w:ascii="宋体" w:hAnsi="宋体" w:cs="Arial"/>
                <w:color w:val="000000"/>
                <w:sz w:val="24"/>
                <w:szCs w:val="28"/>
              </w:rPr>
              <w:t>灭治蚊子、苍蝇、蟑螂每月3次，饭堂区域每周1次；灭治老鼠，每月2次.</w:t>
            </w:r>
          </w:p>
          <w:p w14:paraId="36EF8419">
            <w:pPr>
              <w:jc w:val="left"/>
              <w:rPr>
                <w:rFonts w:ascii="宋体" w:hAnsi="宋体" w:cs="Arial"/>
                <w:color w:val="000000"/>
                <w:sz w:val="28"/>
                <w:szCs w:val="28"/>
              </w:rPr>
            </w:pPr>
            <w:r>
              <w:rPr>
                <w:rFonts w:hint="eastAsia" w:ascii="宋体" w:hAnsi="宋体" w:cs="Arial"/>
                <w:color w:val="000000"/>
                <w:sz w:val="24"/>
                <w:szCs w:val="28"/>
              </w:rPr>
              <w:t>（如有突然问题免费跟进）</w:t>
            </w:r>
          </w:p>
        </w:tc>
        <w:tc>
          <w:tcPr>
            <w:tcW w:w="1859" w:type="dxa"/>
            <w:tcBorders>
              <w:top w:val="single" w:color="auto" w:sz="4" w:space="0"/>
              <w:left w:val="single" w:color="auto" w:sz="4" w:space="0"/>
              <w:bottom w:val="single" w:color="auto" w:sz="4" w:space="0"/>
              <w:right w:val="single" w:color="auto" w:sz="4" w:space="0"/>
            </w:tcBorders>
            <w:vAlign w:val="center"/>
          </w:tcPr>
          <w:p w14:paraId="61FD6FD4">
            <w:pPr>
              <w:jc w:val="center"/>
              <w:rPr>
                <w:rFonts w:ascii="新宋体" w:hAnsi="新宋体" w:eastAsia="新宋体" w:cs="新宋体"/>
                <w:b/>
                <w:color w:val="FF0000"/>
                <w:sz w:val="28"/>
                <w:szCs w:val="28"/>
              </w:rPr>
            </w:pPr>
          </w:p>
        </w:tc>
      </w:tr>
    </w:tbl>
    <w:p w14:paraId="5FC2AB89">
      <w:pPr>
        <w:pStyle w:val="17"/>
        <w:tabs>
          <w:tab w:val="left" w:pos="1418"/>
        </w:tabs>
        <w:spacing w:line="360" w:lineRule="auto"/>
        <w:ind w:firstLine="0" w:firstLineChars="0"/>
        <w:jc w:val="left"/>
        <w:rPr>
          <w:rFonts w:ascii="新宋体" w:hAnsi="新宋体" w:eastAsia="新宋体" w:cs="新宋体"/>
          <w:sz w:val="28"/>
          <w:szCs w:val="28"/>
        </w:rPr>
      </w:pPr>
    </w:p>
    <w:p w14:paraId="63293574">
      <w:pPr>
        <w:pStyle w:val="17"/>
        <w:tabs>
          <w:tab w:val="left" w:pos="1418"/>
        </w:tabs>
        <w:spacing w:line="360" w:lineRule="auto"/>
        <w:ind w:firstLine="0" w:firstLineChars="0"/>
        <w:jc w:val="left"/>
        <w:rPr>
          <w:rFonts w:ascii="新宋体" w:hAnsi="新宋体" w:eastAsia="新宋体" w:cs="新宋体"/>
          <w:sz w:val="28"/>
          <w:szCs w:val="28"/>
        </w:rPr>
      </w:pPr>
      <w:r>
        <w:rPr>
          <w:rFonts w:hint="eastAsia" w:ascii="新宋体" w:hAnsi="新宋体" w:eastAsia="新宋体" w:cs="新宋体"/>
          <w:b/>
          <w:bCs/>
          <w:sz w:val="28"/>
          <w:szCs w:val="28"/>
        </w:rPr>
        <w:t>2、红白蚁</w:t>
      </w:r>
    </w:p>
    <w:tbl>
      <w:tblPr>
        <w:tblStyle w:val="6"/>
        <w:tblpPr w:leftFromText="180" w:rightFromText="180" w:vertAnchor="text" w:horzAnchor="page" w:tblpX="1253" w:tblpY="306"/>
        <w:tblOverlap w:val="never"/>
        <w:tblW w:w="9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4111"/>
        <w:gridCol w:w="1984"/>
        <w:gridCol w:w="1851"/>
      </w:tblGrid>
      <w:tr w14:paraId="3B0D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848" w:type="dxa"/>
            <w:vAlign w:val="center"/>
          </w:tcPr>
          <w:p w14:paraId="017E71A9">
            <w:pPr>
              <w:pStyle w:val="18"/>
              <w:spacing w:before="55"/>
              <w:ind w:right="42"/>
              <w:jc w:val="center"/>
              <w:rPr>
                <w:sz w:val="28"/>
                <w:szCs w:val="28"/>
                <w:lang w:val="en-US"/>
              </w:rPr>
            </w:pPr>
            <w:r>
              <w:rPr>
                <w:rFonts w:hint="eastAsia" w:ascii="新宋体" w:hAnsi="新宋体" w:eastAsia="新宋体" w:cs="新宋体"/>
                <w:b/>
                <w:sz w:val="28"/>
                <w:szCs w:val="28"/>
                <w:lang w:val="en-US"/>
              </w:rPr>
              <w:t>项目</w:t>
            </w:r>
          </w:p>
        </w:tc>
        <w:tc>
          <w:tcPr>
            <w:tcW w:w="4111" w:type="dxa"/>
            <w:vAlign w:val="center"/>
          </w:tcPr>
          <w:p w14:paraId="55A55EF8">
            <w:pPr>
              <w:jc w:val="center"/>
              <w:rPr>
                <w:rFonts w:ascii="新宋体" w:hAnsi="新宋体" w:eastAsia="新宋体" w:cs="新宋体"/>
                <w:b/>
                <w:sz w:val="28"/>
                <w:szCs w:val="28"/>
              </w:rPr>
            </w:pPr>
            <w:r>
              <w:rPr>
                <w:rFonts w:hint="eastAsia" w:ascii="新宋体" w:hAnsi="新宋体" w:eastAsia="新宋体" w:cs="新宋体"/>
                <w:b/>
                <w:sz w:val="28"/>
                <w:szCs w:val="28"/>
              </w:rPr>
              <w:t>范围</w:t>
            </w:r>
          </w:p>
        </w:tc>
        <w:tc>
          <w:tcPr>
            <w:tcW w:w="1984" w:type="dxa"/>
            <w:vAlign w:val="center"/>
          </w:tcPr>
          <w:p w14:paraId="6F43A9A0">
            <w:pPr>
              <w:pStyle w:val="18"/>
              <w:spacing w:before="55"/>
              <w:jc w:val="center"/>
              <w:rPr>
                <w:sz w:val="28"/>
                <w:szCs w:val="28"/>
              </w:rPr>
            </w:pPr>
            <w:r>
              <w:rPr>
                <w:rFonts w:hint="eastAsia" w:ascii="新宋体" w:hAnsi="新宋体" w:eastAsia="新宋体" w:cs="新宋体"/>
                <w:b/>
                <w:sz w:val="28"/>
                <w:szCs w:val="28"/>
              </w:rPr>
              <w:t>頻率</w:t>
            </w:r>
          </w:p>
        </w:tc>
        <w:tc>
          <w:tcPr>
            <w:tcW w:w="1851" w:type="dxa"/>
            <w:vAlign w:val="center"/>
          </w:tcPr>
          <w:p w14:paraId="605339F0">
            <w:pPr>
              <w:pStyle w:val="18"/>
              <w:spacing w:before="55"/>
              <w:ind w:left="89"/>
              <w:jc w:val="center"/>
              <w:rPr>
                <w:sz w:val="28"/>
                <w:szCs w:val="28"/>
              </w:rPr>
            </w:pPr>
            <w:r>
              <w:rPr>
                <w:rFonts w:hint="eastAsia" w:ascii="新宋体" w:hAnsi="新宋体" w:eastAsia="新宋体" w:cs="新宋体"/>
                <w:b/>
                <w:sz w:val="28"/>
                <w:szCs w:val="28"/>
              </w:rPr>
              <w:t>费用/次</w:t>
            </w:r>
          </w:p>
        </w:tc>
      </w:tr>
      <w:tr w14:paraId="3057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848" w:type="dxa"/>
            <w:vAlign w:val="center"/>
          </w:tcPr>
          <w:p w14:paraId="6668FDA3">
            <w:pPr>
              <w:pStyle w:val="18"/>
              <w:spacing w:before="1" w:line="280" w:lineRule="auto"/>
              <w:ind w:right="-15"/>
              <w:jc w:val="center"/>
              <w:rPr>
                <w:rFonts w:cs="Arial"/>
                <w:color w:val="000000"/>
                <w:kern w:val="0"/>
                <w:szCs w:val="28"/>
                <w:lang w:val="en-US" w:bidi="ar-SA"/>
              </w:rPr>
            </w:pPr>
            <w:r>
              <w:rPr>
                <w:rFonts w:hint="eastAsia" w:cs="Arial"/>
                <w:color w:val="000000"/>
                <w:kern w:val="0"/>
                <w:szCs w:val="28"/>
                <w:lang w:val="en-US" w:bidi="ar-SA"/>
              </w:rPr>
              <w:t>红白蚁</w:t>
            </w:r>
          </w:p>
        </w:tc>
        <w:tc>
          <w:tcPr>
            <w:tcW w:w="4111" w:type="dxa"/>
            <w:vAlign w:val="center"/>
          </w:tcPr>
          <w:p w14:paraId="36C0ECE1">
            <w:pPr>
              <w:tabs>
                <w:tab w:val="left" w:pos="1418"/>
              </w:tabs>
              <w:rPr>
                <w:rFonts w:ascii="宋体" w:hAnsi="宋体" w:cs="Arial"/>
                <w:color w:val="000000"/>
                <w:sz w:val="24"/>
                <w:szCs w:val="28"/>
              </w:rPr>
            </w:pPr>
            <w:r>
              <w:rPr>
                <w:rFonts w:hint="eastAsia" w:ascii="宋体" w:hAnsi="宋体" w:cs="Arial"/>
                <w:color w:val="000000"/>
                <w:sz w:val="24"/>
                <w:szCs w:val="28"/>
              </w:rPr>
              <w:t>广州医科大学附属第三医院黄埔院区全场区域包含门诊大楼、住院大楼、行政大楼，中心花园，建筑外围等</w:t>
            </w:r>
          </w:p>
        </w:tc>
        <w:tc>
          <w:tcPr>
            <w:tcW w:w="1984" w:type="dxa"/>
            <w:vAlign w:val="center"/>
          </w:tcPr>
          <w:p w14:paraId="30F5CC3F">
            <w:pPr>
              <w:pStyle w:val="18"/>
              <w:spacing w:before="1" w:line="280" w:lineRule="auto"/>
              <w:ind w:right="-15"/>
              <w:rPr>
                <w:rFonts w:cs="Arial"/>
                <w:color w:val="000000"/>
                <w:kern w:val="0"/>
                <w:szCs w:val="28"/>
                <w:lang w:val="en-US" w:bidi="ar-SA"/>
              </w:rPr>
            </w:pPr>
            <w:r>
              <w:rPr>
                <w:rFonts w:hint="eastAsia" w:cs="Arial"/>
                <w:color w:val="000000"/>
                <w:kern w:val="0"/>
                <w:szCs w:val="28"/>
                <w:lang w:val="en-US" w:bidi="ar-SA"/>
              </w:rPr>
              <w:t>每月免费定期检查，如发现红白蚁予进行灭杀。</w:t>
            </w:r>
          </w:p>
        </w:tc>
        <w:tc>
          <w:tcPr>
            <w:tcW w:w="1851" w:type="dxa"/>
            <w:vAlign w:val="center"/>
          </w:tcPr>
          <w:p w14:paraId="5DBAA06A">
            <w:pPr>
              <w:pStyle w:val="18"/>
              <w:spacing w:before="1" w:line="280" w:lineRule="auto"/>
              <w:ind w:right="-15"/>
              <w:jc w:val="center"/>
              <w:rPr>
                <w:sz w:val="28"/>
                <w:szCs w:val="28"/>
                <w:lang w:val="en-US"/>
              </w:rPr>
            </w:pPr>
          </w:p>
          <w:p w14:paraId="28D3071B">
            <w:pPr>
              <w:pStyle w:val="18"/>
              <w:spacing w:before="1" w:line="280" w:lineRule="auto"/>
              <w:ind w:right="-15"/>
              <w:jc w:val="center"/>
              <w:rPr>
                <w:sz w:val="28"/>
                <w:szCs w:val="28"/>
                <w:lang w:val="en-US"/>
              </w:rPr>
            </w:pPr>
          </w:p>
        </w:tc>
      </w:tr>
    </w:tbl>
    <w:p w14:paraId="2378EDB4">
      <w:pPr>
        <w:pStyle w:val="17"/>
        <w:tabs>
          <w:tab w:val="left" w:pos="1418"/>
        </w:tabs>
        <w:spacing w:line="360" w:lineRule="auto"/>
        <w:ind w:firstLine="0" w:firstLineChars="0"/>
        <w:jc w:val="left"/>
        <w:rPr>
          <w:rFonts w:ascii="新宋体" w:hAnsi="新宋体" w:eastAsia="新宋体" w:cs="新宋体"/>
          <w:sz w:val="28"/>
          <w:szCs w:val="28"/>
        </w:rPr>
      </w:pPr>
    </w:p>
    <w:p w14:paraId="22C4735E">
      <w:pPr>
        <w:pStyle w:val="17"/>
        <w:tabs>
          <w:tab w:val="left" w:pos="1418"/>
        </w:tabs>
        <w:spacing w:line="360" w:lineRule="auto"/>
        <w:ind w:firstLine="0" w:firstLineChars="0"/>
        <w:jc w:val="left"/>
        <w:rPr>
          <w:rFonts w:ascii="新宋体" w:hAnsi="新宋体" w:eastAsia="新宋体" w:cs="新宋体"/>
          <w:bCs/>
          <w:color w:val="000000"/>
          <w:sz w:val="28"/>
          <w:szCs w:val="28"/>
        </w:rPr>
      </w:pPr>
      <w:r>
        <w:rPr>
          <w:rFonts w:hint="eastAsia" w:ascii="新宋体" w:hAnsi="新宋体" w:eastAsia="新宋体" w:cs="新宋体"/>
          <w:sz w:val="28"/>
          <w:szCs w:val="28"/>
        </w:rPr>
        <w:t>注：以上费用含所有物料、人工、税费等费用，</w:t>
      </w:r>
      <w:r>
        <w:rPr>
          <w:rFonts w:hint="eastAsia" w:ascii="新宋体" w:hAnsi="新宋体" w:eastAsia="新宋体" w:cs="新宋体"/>
          <w:bCs/>
          <w:color w:val="000000"/>
          <w:sz w:val="28"/>
          <w:szCs w:val="28"/>
        </w:rPr>
        <w:t>每月会提供灭虫报告。</w:t>
      </w:r>
    </w:p>
    <w:p w14:paraId="317FF6EA">
      <w:pPr>
        <w:pStyle w:val="17"/>
        <w:tabs>
          <w:tab w:val="left" w:pos="1418"/>
        </w:tabs>
        <w:spacing w:line="360" w:lineRule="auto"/>
        <w:ind w:firstLine="0" w:firstLineChars="0"/>
        <w:jc w:val="left"/>
        <w:rPr>
          <w:rFonts w:ascii="新宋体" w:hAnsi="新宋体" w:eastAsia="新宋体" w:cs="新宋体"/>
          <w:bCs/>
          <w:color w:val="000000"/>
          <w:sz w:val="28"/>
          <w:szCs w:val="28"/>
        </w:rPr>
      </w:pPr>
    </w:p>
    <w:p w14:paraId="565A2B18">
      <w:pPr>
        <w:pStyle w:val="17"/>
        <w:tabs>
          <w:tab w:val="left" w:pos="1418"/>
        </w:tabs>
        <w:spacing w:line="360" w:lineRule="auto"/>
        <w:ind w:right="1680" w:firstLine="0" w:firstLineChars="0"/>
        <w:jc w:val="center"/>
        <w:rPr>
          <w:rFonts w:ascii="新宋体" w:hAnsi="新宋体" w:eastAsia="新宋体" w:cs="新宋体"/>
          <w:bCs/>
          <w:color w:val="000000"/>
          <w:sz w:val="28"/>
          <w:szCs w:val="28"/>
        </w:rPr>
      </w:pPr>
      <w:r>
        <w:rPr>
          <w:rFonts w:hint="eastAsia" w:ascii="新宋体" w:hAnsi="新宋体" w:eastAsia="新宋体" w:cs="新宋体"/>
          <w:bCs/>
          <w:color w:val="000000"/>
          <w:sz w:val="28"/>
          <w:szCs w:val="28"/>
        </w:rPr>
        <w:t xml:space="preserve">                            公司名（盖章）：</w:t>
      </w:r>
      <w:bookmarkStart w:id="4" w:name="_GoBack"/>
      <w:bookmarkEnd w:id="4"/>
    </w:p>
    <w:p w14:paraId="0EBC9FCC">
      <w:pPr>
        <w:pStyle w:val="17"/>
        <w:tabs>
          <w:tab w:val="left" w:pos="1418"/>
        </w:tabs>
        <w:spacing w:line="360" w:lineRule="auto"/>
        <w:ind w:right="420" w:firstLine="0" w:firstLineChars="0"/>
        <w:jc w:val="center"/>
        <w:rPr>
          <w:rFonts w:ascii="新宋体" w:hAnsi="新宋体" w:eastAsia="新宋体" w:cs="新宋体"/>
          <w:sz w:val="28"/>
          <w:szCs w:val="28"/>
        </w:rPr>
      </w:pPr>
      <w:r>
        <w:rPr>
          <w:rFonts w:hint="eastAsia" w:ascii="新宋体" w:hAnsi="新宋体" w:eastAsia="新宋体" w:cs="新宋体"/>
          <w:bCs/>
          <w:color w:val="000000"/>
          <w:sz w:val="28"/>
          <w:szCs w:val="28"/>
        </w:rPr>
        <w:t xml:space="preserve">                            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4"/>
    <w:multiLevelType w:val="singleLevel"/>
    <w:tmpl w:val="00000024"/>
    <w:lvl w:ilvl="0" w:tentative="0">
      <w:start w:val="1"/>
      <w:numFmt w:val="chineseCounting"/>
      <w:suff w:val="nothing"/>
      <w:lvlText w:val="%1、"/>
      <w:lvlJc w:val="left"/>
      <w:pPr>
        <w:ind w:left="-420" w:firstLine="420"/>
      </w:pPr>
      <w:rPr>
        <w:rFonts w:hint="eastAsia"/>
      </w:rPr>
    </w:lvl>
  </w:abstractNum>
  <w:abstractNum w:abstractNumId="1">
    <w:nsid w:val="2806CB3B"/>
    <w:multiLevelType w:val="singleLevel"/>
    <w:tmpl w:val="2806CB3B"/>
    <w:lvl w:ilvl="0" w:tentative="0">
      <w:start w:val="1"/>
      <w:numFmt w:val="decimal"/>
      <w:suff w:val="nothing"/>
      <w:lvlText w:val="%1．"/>
      <w:lvlJc w:val="left"/>
      <w:pPr>
        <w:ind w:left="0" w:firstLine="400"/>
      </w:pPr>
      <w:rPr>
        <w:rFonts w:hint="default"/>
      </w:rPr>
    </w:lvl>
  </w:abstractNum>
  <w:abstractNum w:abstractNumId="2">
    <w:nsid w:val="58632897"/>
    <w:multiLevelType w:val="singleLevel"/>
    <w:tmpl w:val="58632897"/>
    <w:lvl w:ilvl="0" w:tentative="0">
      <w:start w:val="1"/>
      <w:numFmt w:val="decimal"/>
      <w:lvlText w:val="%1)"/>
      <w:lvlJc w:val="left"/>
      <w:pPr>
        <w:ind w:left="425" w:hanging="425"/>
      </w:pPr>
      <w:rPr>
        <w:rFonts w:hint="default"/>
      </w:rPr>
    </w:lvl>
  </w:abstractNum>
  <w:abstractNum w:abstractNumId="3">
    <w:nsid w:val="586CEA2A"/>
    <w:multiLevelType w:val="singleLevel"/>
    <w:tmpl w:val="586CEA2A"/>
    <w:lvl w:ilvl="0" w:tentative="0">
      <w:start w:val="1"/>
      <w:numFmt w:val="decimal"/>
      <w:suff w:val="nothing"/>
      <w:lvlText w:val="%1."/>
      <w:lvlJc w:val="left"/>
    </w:lvl>
  </w:abstractNum>
  <w:abstractNum w:abstractNumId="4">
    <w:nsid w:val="586CEA4A"/>
    <w:multiLevelType w:val="singleLevel"/>
    <w:tmpl w:val="586CEA4A"/>
    <w:lvl w:ilvl="0" w:tentative="0">
      <w:start w:val="1"/>
      <w:numFmt w:val="decimal"/>
      <w:suff w:val="nothing"/>
      <w:lvlText w:val="%1."/>
      <w:lvlJc w:val="left"/>
    </w:lvl>
  </w:abstractNum>
  <w:abstractNum w:abstractNumId="5">
    <w:nsid w:val="586CEB5A"/>
    <w:multiLevelType w:val="singleLevel"/>
    <w:tmpl w:val="586CEB5A"/>
    <w:lvl w:ilvl="0" w:tentative="0">
      <w:start w:val="1"/>
      <w:numFmt w:val="decimal"/>
      <w:suff w:val="nothing"/>
      <w:lvlText w:val="%1."/>
      <w:lvlJc w:val="left"/>
    </w:lvl>
  </w:abstractNum>
  <w:abstractNum w:abstractNumId="6">
    <w:nsid w:val="586CED0D"/>
    <w:multiLevelType w:val="singleLevel"/>
    <w:tmpl w:val="586CED0D"/>
    <w:lvl w:ilvl="0" w:tentative="0">
      <w:start w:val="1"/>
      <w:numFmt w:val="decimal"/>
      <w:suff w:val="nothing"/>
      <w:lvlText w:val="%1."/>
      <w:lvlJc w:val="left"/>
    </w:lvl>
  </w:abstractNum>
  <w:abstractNum w:abstractNumId="7">
    <w:nsid w:val="5A02BB45"/>
    <w:multiLevelType w:val="singleLevel"/>
    <w:tmpl w:val="5A02BB45"/>
    <w:lvl w:ilvl="0" w:tentative="0">
      <w:start w:val="1"/>
      <w:numFmt w:val="decimal"/>
      <w:suff w:val="nothing"/>
      <w:lvlText w:val="%1．"/>
      <w:lvlJc w:val="left"/>
      <w:pPr>
        <w:ind w:left="0" w:firstLine="400"/>
      </w:pPr>
      <w:rPr>
        <w:rFonts w:hint="default"/>
      </w:rPr>
    </w:lvl>
  </w:abstractNum>
  <w:abstractNum w:abstractNumId="8">
    <w:nsid w:val="5BA10577"/>
    <w:multiLevelType w:val="multilevel"/>
    <w:tmpl w:val="5BA10577"/>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48A2BBF"/>
    <w:multiLevelType w:val="multilevel"/>
    <w:tmpl w:val="748A2B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7"/>
  </w:num>
  <w:num w:numId="4">
    <w:abstractNumId w:val="1"/>
  </w:num>
  <w:num w:numId="5">
    <w:abstractNumId w:val="5"/>
  </w:num>
  <w:num w:numId="6">
    <w:abstractNumId w:val="3"/>
  </w:num>
  <w:num w:numId="7">
    <w:abstractNumId w:val="4"/>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zljYzUxNmJiMTA2YjY4N2FkYTMyOGE0YWFiNmEifQ=="/>
  </w:docVars>
  <w:rsids>
    <w:rsidRoot w:val="00691F52"/>
    <w:rsid w:val="00045991"/>
    <w:rsid w:val="000F06EE"/>
    <w:rsid w:val="00123AE5"/>
    <w:rsid w:val="0014399A"/>
    <w:rsid w:val="0029449E"/>
    <w:rsid w:val="002B2FF1"/>
    <w:rsid w:val="003170E2"/>
    <w:rsid w:val="00355DCE"/>
    <w:rsid w:val="003B7CBD"/>
    <w:rsid w:val="00405159"/>
    <w:rsid w:val="00462411"/>
    <w:rsid w:val="004A3108"/>
    <w:rsid w:val="005926D8"/>
    <w:rsid w:val="006324D3"/>
    <w:rsid w:val="00691F52"/>
    <w:rsid w:val="006A3104"/>
    <w:rsid w:val="006B0D03"/>
    <w:rsid w:val="00871799"/>
    <w:rsid w:val="00874F69"/>
    <w:rsid w:val="0087511D"/>
    <w:rsid w:val="00965A56"/>
    <w:rsid w:val="009846E8"/>
    <w:rsid w:val="009B54C2"/>
    <w:rsid w:val="00A343E2"/>
    <w:rsid w:val="00A6358D"/>
    <w:rsid w:val="00A740DD"/>
    <w:rsid w:val="00A76F20"/>
    <w:rsid w:val="00A973FE"/>
    <w:rsid w:val="00B55BBF"/>
    <w:rsid w:val="00C61152"/>
    <w:rsid w:val="00C62952"/>
    <w:rsid w:val="00CA1635"/>
    <w:rsid w:val="00CC2F24"/>
    <w:rsid w:val="00D25657"/>
    <w:rsid w:val="00D2712F"/>
    <w:rsid w:val="00D9704E"/>
    <w:rsid w:val="00DC0772"/>
    <w:rsid w:val="00DE5B70"/>
    <w:rsid w:val="00E64D7E"/>
    <w:rsid w:val="00E84C13"/>
    <w:rsid w:val="00EC5908"/>
    <w:rsid w:val="00EE3B1B"/>
    <w:rsid w:val="00EF029F"/>
    <w:rsid w:val="00EF7DA1"/>
    <w:rsid w:val="00F15672"/>
    <w:rsid w:val="00FD010F"/>
    <w:rsid w:val="4A6C27AE"/>
    <w:rsid w:val="6EA76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link w:val="10"/>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纯文本 Char"/>
    <w:basedOn w:val="7"/>
    <w:link w:val="2"/>
    <w:qFormat/>
    <w:uiPriority w:val="99"/>
    <w:rPr>
      <w:rFonts w:ascii="宋体" w:hAnsi="Courier New" w:eastAsia="宋体" w:cs="Courier New"/>
      <w:szCs w:val="21"/>
    </w:rPr>
  </w:style>
  <w:style w:type="paragraph" w:customStyle="1" w:styleId="11">
    <w:name w:val="列出段落1"/>
    <w:link w:val="14"/>
    <w:qFormat/>
    <w:uiPriority w:val="0"/>
    <w:pPr>
      <w:widowControl w:val="0"/>
      <w:adjustRightInd w:val="0"/>
      <w:spacing w:line="360" w:lineRule="atLeast"/>
      <w:ind w:firstLine="420" w:firstLineChars="200"/>
      <w:jc w:val="both"/>
      <w:textAlignment w:val="baseline"/>
    </w:pPr>
    <w:rPr>
      <w:rFonts w:ascii="Times New Roman" w:hAnsi="Times New Roman" w:eastAsia="宋体" w:cs="Times New Roman"/>
      <w:szCs w:val="24"/>
      <w:lang w:val="en-US" w:eastAsia="zh-CN" w:bidi="ar-SA"/>
    </w:rPr>
  </w:style>
  <w:style w:type="paragraph" w:customStyle="1" w:styleId="12">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13">
    <w:name w:val="网格型1"/>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列出段落 Char"/>
    <w:link w:val="11"/>
    <w:qFormat/>
    <w:locked/>
    <w:uiPriority w:val="0"/>
    <w:rPr>
      <w:rFonts w:ascii="Times New Roman" w:hAnsi="Times New Roman" w:eastAsia="宋体" w:cs="Times New Roman"/>
      <w:kern w:val="0"/>
      <w:sz w:val="20"/>
      <w:szCs w:val="24"/>
    </w:rPr>
  </w:style>
  <w:style w:type="character" w:customStyle="1" w:styleId="15">
    <w:name w:val="批注框文本 Char"/>
    <w:basedOn w:val="7"/>
    <w:link w:val="3"/>
    <w:semiHidden/>
    <w:qFormat/>
    <w:uiPriority w:val="99"/>
    <w:rPr>
      <w:sz w:val="18"/>
      <w:szCs w:val="18"/>
    </w:rPr>
  </w:style>
  <w:style w:type="paragraph" w:styleId="16">
    <w:name w:val="List Paragraph"/>
    <w:basedOn w:val="1"/>
    <w:unhideWhenUsed/>
    <w:qFormat/>
    <w:uiPriority w:val="99"/>
    <w:pPr>
      <w:ind w:firstLine="420" w:firstLineChars="200"/>
    </w:pPr>
  </w:style>
  <w:style w:type="paragraph" w:customStyle="1" w:styleId="17">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18">
    <w:name w:val="Table Paragraph"/>
    <w:basedOn w:val="1"/>
    <w:qFormat/>
    <w:uiPriority w:val="1"/>
    <w:pPr>
      <w:adjustRightInd/>
      <w:spacing w:line="240" w:lineRule="auto"/>
      <w:jc w:val="left"/>
      <w:textAlignment w:val="auto"/>
    </w:pPr>
    <w:rPr>
      <w:rFonts w:ascii="宋体" w:hAnsi="宋体" w:cs="宋体"/>
      <w:kern w:val="2"/>
      <w:sz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3021</Words>
  <Characters>3128</Characters>
  <Lines>23</Lines>
  <Paragraphs>6</Paragraphs>
  <TotalTime>156</TotalTime>
  <ScaleCrop>false</ScaleCrop>
  <LinksUpToDate>false</LinksUpToDate>
  <CharactersWithSpaces>3186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2025-07-19T06:09:00Z</dcterms:created>
  <dc:creator>广州医科大学附属第三医院</dc:creator>
  <cp:lastModifiedBy>asdodo</cp:lastModifiedBy>
  <dcterms:modified xsi:type="dcterms:W3CDTF">2025-11-12T01:30:18Z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EA8D88A33EFB44F1B0E62EAA60AC7A9C_13</vt:lpwstr>
  </property>
  <property fmtid="{D5CDD505-2E9C-101B-9397-08002B2CF9AE}" pid="3" name="KSOProductBuildVer">
    <vt:lpwstr>2052-12.1.0.23542</vt:lpwstr>
  </property>
  <property fmtid="{D5CDD505-2E9C-101B-9397-08002B2CF9AE}" pid="4" name="KSOTemplateDocerSaveRecord">
    <vt:lpwstr>eyJoZGlkIjoiYzI4ZWUyMjQ4OWExMWFhOTNlMmFkZWIzZTQwOTMzYjkiLCJ1c2VySWQiOiI1NTMzNDUwNDQifQ==</vt:lpwstr>
  </property>
</Properties>
</file>