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381113">
      <w:pPr>
        <w:jc w:val="center"/>
        <w:rPr>
          <w:rFonts w:hint="eastAsia" w:ascii="宋体" w:hAnsi="宋体"/>
          <w:b/>
          <w:sz w:val="32"/>
          <w:szCs w:val="32"/>
        </w:rPr>
      </w:pPr>
      <w:r>
        <w:rPr>
          <w:rFonts w:hint="eastAsia" w:ascii="宋体" w:hAnsi="宋体"/>
          <w:b/>
          <w:sz w:val="32"/>
          <w:szCs w:val="32"/>
        </w:rPr>
        <w:t>采购需求</w:t>
      </w:r>
    </w:p>
    <w:p w14:paraId="4E413491">
      <w:pPr>
        <w:pStyle w:val="3"/>
        <w:numPr>
          <w:ilvl w:val="0"/>
          <w:numId w:val="1"/>
        </w:numPr>
        <w:wordWrap/>
        <w:spacing w:before="0" w:after="0" w:line="415" w:lineRule="auto"/>
        <w:ind w:left="0" w:firstLine="0"/>
        <w:rPr>
          <w:rFonts w:ascii="宋体" w:hAnsi="宋体"/>
          <w:sz w:val="28"/>
          <w:szCs w:val="28"/>
        </w:rPr>
      </w:pPr>
      <w:r>
        <w:rPr>
          <w:rFonts w:ascii="宋体" w:hAnsi="宋体"/>
          <w:sz w:val="28"/>
          <w:szCs w:val="28"/>
        </w:rPr>
        <w:t>项目概况</w:t>
      </w:r>
    </w:p>
    <w:p w14:paraId="372EB021">
      <w:pPr>
        <w:autoSpaceDE w:val="0"/>
        <w:autoSpaceDN w:val="0"/>
        <w:rPr>
          <w:rFonts w:ascii="宋体" w:hAnsi="宋体"/>
          <w:szCs w:val="24"/>
        </w:rPr>
      </w:pPr>
      <w:r>
        <w:rPr>
          <w:rFonts w:hint="eastAsia" w:ascii="宋体" w:hAnsi="宋体"/>
          <w:szCs w:val="24"/>
        </w:rPr>
        <w:t>（一）注意事项</w:t>
      </w:r>
    </w:p>
    <w:p w14:paraId="72A968B0">
      <w:pPr>
        <w:autoSpaceDE w:val="0"/>
        <w:autoSpaceDN w:val="0"/>
        <w:ind w:firstLine="480" w:firstLineChars="200"/>
        <w:rPr>
          <w:rFonts w:ascii="宋体" w:hAnsi="宋体"/>
          <w:szCs w:val="24"/>
        </w:rPr>
      </w:pPr>
      <w:r>
        <w:rPr>
          <w:rFonts w:hint="eastAsia" w:ascii="宋体" w:hAnsi="宋体"/>
          <w:szCs w:val="24"/>
        </w:rPr>
        <w:t>1.凡标有“★”的地方为关键的商务、技术指标要求，必须完全满足这些要求，未达到这些指标要求的将导致投标无效。标“</w:t>
      </w:r>
      <w:bookmarkStart w:id="0" w:name="_Hlk165901123"/>
      <w:r>
        <w:rPr>
          <w:rFonts w:hint="eastAsia" w:ascii="宋体" w:hAnsi="宋体"/>
          <w:szCs w:val="24"/>
        </w:rPr>
        <w:t>▲</w:t>
      </w:r>
      <w:bookmarkEnd w:id="0"/>
      <w:r>
        <w:rPr>
          <w:rFonts w:hint="eastAsia" w:ascii="宋体" w:hAnsi="宋体"/>
          <w:szCs w:val="24"/>
        </w:rPr>
        <w:t>”号的为比较重要的商务、技术指标，未达到这些指标要求的将被严重扣分，但不会导致投标无效。</w:t>
      </w:r>
    </w:p>
    <w:p w14:paraId="355FDDE7">
      <w:pPr>
        <w:autoSpaceDE w:val="0"/>
        <w:autoSpaceDN w:val="0"/>
        <w:ind w:firstLine="480" w:firstLineChars="200"/>
        <w:rPr>
          <w:rFonts w:ascii="宋体" w:hAnsi="宋体"/>
          <w:szCs w:val="24"/>
        </w:rPr>
      </w:pPr>
      <w:r>
        <w:rPr>
          <w:rFonts w:hint="eastAsia" w:ascii="宋体" w:hAnsi="宋体"/>
          <w:szCs w:val="24"/>
        </w:rPr>
        <w:t>2.投标人必须对包内所有内容进行投标，不允许只对包内其中部分内容进行投标。</w:t>
      </w:r>
    </w:p>
    <w:p w14:paraId="374FA1C3">
      <w:pPr>
        <w:autoSpaceDE w:val="0"/>
        <w:autoSpaceDN w:val="0"/>
        <w:ind w:firstLine="480" w:firstLineChars="200"/>
        <w:rPr>
          <w:rFonts w:ascii="宋体" w:hAnsi="宋体"/>
          <w:szCs w:val="24"/>
        </w:rPr>
      </w:pPr>
      <w:r>
        <w:rPr>
          <w:rFonts w:hint="eastAsia" w:ascii="宋体" w:hAnsi="宋体"/>
          <w:szCs w:val="24"/>
        </w:rPr>
        <w:t>3.投标人所投货物应是原厂原装、全新的产品，并符合下列要求：国家标准、行业标准以及该产品的出厂标准。</w:t>
      </w:r>
    </w:p>
    <w:p w14:paraId="6F94E9FF">
      <w:pPr>
        <w:autoSpaceDE w:val="0"/>
        <w:autoSpaceDN w:val="0"/>
        <w:ind w:firstLine="480" w:firstLineChars="200"/>
        <w:rPr>
          <w:rFonts w:ascii="宋体" w:hAnsi="宋体"/>
          <w:szCs w:val="24"/>
        </w:rPr>
      </w:pPr>
      <w:r>
        <w:rPr>
          <w:rFonts w:hint="eastAsia" w:ascii="宋体" w:hAnsi="宋体"/>
          <w:szCs w:val="24"/>
        </w:rPr>
        <w:t>4.投标人需对提交的资料真实性负责，如提供的产品规格、技术条款、检测报告（如有）、相关认证证书（如有）等方面的材料不真实，将认定为提供虚假材料谋取中标，由此给采购人造成损失的，投标人应承担相应后果，并负责赔偿。</w:t>
      </w:r>
    </w:p>
    <w:p w14:paraId="043D13FF">
      <w:pPr>
        <w:autoSpaceDE w:val="0"/>
        <w:autoSpaceDN w:val="0"/>
        <w:ind w:firstLine="480" w:firstLineChars="200"/>
        <w:rPr>
          <w:rFonts w:hint="eastAsia" w:ascii="宋体" w:hAnsi="宋体"/>
          <w:szCs w:val="24"/>
        </w:rPr>
      </w:pPr>
      <w:r>
        <w:rPr>
          <w:rFonts w:hint="eastAsia" w:ascii="宋体" w:hAnsi="宋体"/>
          <w:szCs w:val="24"/>
        </w:rPr>
        <w:t>5.本项目不属于专门面向中小微企业预留采购份额的项目（采购包）。原因：预留采购份额无法确保充分供应、充分竞争，或者存在可能影响政府采购目标实现的情形。</w:t>
      </w:r>
    </w:p>
    <w:p w14:paraId="151429CB">
      <w:pPr>
        <w:autoSpaceDE w:val="0"/>
        <w:autoSpaceDN w:val="0"/>
        <w:ind w:firstLine="480" w:firstLineChars="200"/>
        <w:rPr>
          <w:rFonts w:ascii="宋体" w:hAnsi="宋体"/>
          <w:szCs w:val="24"/>
        </w:rPr>
      </w:pPr>
      <w:r>
        <w:rPr>
          <w:rFonts w:hint="eastAsia" w:ascii="宋体" w:hAnsi="宋体"/>
          <w:szCs w:val="24"/>
        </w:rPr>
        <w:t>6.根据《关于印发中小企业划型标准规定的通知》（工信部联企业〔2011〕300号）规定，本项目采购标的对应的中小企业划分标准所属行业为：批发业。</w:t>
      </w:r>
    </w:p>
    <w:p w14:paraId="5BB3F1BC">
      <w:pPr>
        <w:autoSpaceDE w:val="0"/>
        <w:autoSpaceDN w:val="0"/>
        <w:ind w:firstLine="480" w:firstLineChars="200"/>
        <w:rPr>
          <w:rFonts w:ascii="宋体" w:hAnsi="宋体"/>
          <w:szCs w:val="24"/>
        </w:rPr>
      </w:pPr>
      <w:r>
        <w:rPr>
          <w:rFonts w:hint="eastAsia" w:ascii="宋体" w:hAnsi="宋体"/>
          <w:szCs w:val="24"/>
        </w:rPr>
        <w:t>7.需要落实的政府采购政策：《政府采购促进中小企业发展管理办法》（财库〔2020〕46号）、《关于政府采购支持监狱企业发展有关问题的通知》（财库〔2014〕68号）、《关于促进残疾人就业政府采购政策的通知》（财库</w:t>
      </w:r>
      <w:bookmarkStart w:id="1" w:name="OLE_LINK13"/>
      <w:bookmarkStart w:id="2" w:name="OLE_LINK12"/>
      <w:r>
        <w:rPr>
          <w:rFonts w:hint="eastAsia" w:ascii="宋体" w:hAnsi="宋体"/>
          <w:szCs w:val="24"/>
        </w:rPr>
        <w:t>〔</w:t>
      </w:r>
      <w:bookmarkEnd w:id="1"/>
      <w:bookmarkEnd w:id="2"/>
      <w:r>
        <w:rPr>
          <w:rFonts w:hint="eastAsia" w:ascii="宋体" w:hAnsi="宋体"/>
          <w:szCs w:val="24"/>
        </w:rPr>
        <w:t>2017</w:t>
      </w:r>
      <w:bookmarkStart w:id="3" w:name="OLE_LINK14"/>
      <w:r>
        <w:rPr>
          <w:rFonts w:hint="eastAsia" w:ascii="宋体" w:hAnsi="宋体"/>
          <w:szCs w:val="24"/>
        </w:rPr>
        <w:t>〕</w:t>
      </w:r>
      <w:bookmarkEnd w:id="3"/>
      <w:r>
        <w:rPr>
          <w:rFonts w:hint="eastAsia" w:ascii="宋体" w:hAnsi="宋体"/>
          <w:szCs w:val="24"/>
        </w:rPr>
        <w:t>141号）、《关于调整优化节能产品、环境标志产品政府采购执行机制的通知》（财库〔2019〕9号）、《关于印发节能产品政府采购品目清单的通知》（财库〔2019〕19号）、《关于印发环境标志产品政府采购品目清单的通知》（财库〔2019〕18号）等。</w:t>
      </w:r>
    </w:p>
    <w:p w14:paraId="16AB6924">
      <w:pPr>
        <w:autoSpaceDE w:val="0"/>
        <w:autoSpaceDN w:val="0"/>
        <w:ind w:firstLine="480" w:firstLineChars="200"/>
        <w:rPr>
          <w:rFonts w:hint="eastAsia" w:ascii="宋体" w:hAnsi="宋体"/>
          <w:szCs w:val="24"/>
        </w:rPr>
      </w:pPr>
      <w:r>
        <w:rPr>
          <w:rFonts w:hint="eastAsia" w:ascii="宋体" w:hAnsi="宋体"/>
          <w:szCs w:val="24"/>
        </w:rPr>
        <w:t>8.项目属性：服务类</w:t>
      </w:r>
    </w:p>
    <w:p w14:paraId="60131BE4">
      <w:pPr>
        <w:autoSpaceDE w:val="0"/>
        <w:autoSpaceDN w:val="0"/>
        <w:ind w:firstLine="480" w:firstLineChars="200"/>
        <w:rPr>
          <w:rFonts w:hint="eastAsia" w:ascii="宋体" w:hAnsi="宋体"/>
          <w:szCs w:val="24"/>
        </w:rPr>
      </w:pPr>
      <w:r>
        <w:rPr>
          <w:rFonts w:hint="eastAsia" w:ascii="宋体" w:hAnsi="宋体"/>
          <w:szCs w:val="24"/>
        </w:rPr>
        <w:t>9.提供有关证明材料的提醒：</w:t>
      </w:r>
    </w:p>
    <w:p w14:paraId="6074B636">
      <w:pPr>
        <w:autoSpaceDE w:val="0"/>
        <w:autoSpaceDN w:val="0"/>
        <w:ind w:firstLine="480" w:firstLineChars="200"/>
        <w:rPr>
          <w:rFonts w:hint="eastAsia" w:ascii="宋体" w:hAnsi="宋体"/>
          <w:szCs w:val="24"/>
        </w:rPr>
      </w:pPr>
      <w:r>
        <w:rPr>
          <w:rFonts w:hint="eastAsia" w:ascii="宋体" w:hAnsi="宋体"/>
          <w:szCs w:val="24"/>
        </w:rPr>
        <w:t>填写《中小企业声明函》时，请注意：</w:t>
      </w:r>
    </w:p>
    <w:p w14:paraId="2234F84B">
      <w:pPr>
        <w:autoSpaceDE w:val="0"/>
        <w:autoSpaceDN w:val="0"/>
        <w:ind w:firstLine="480" w:firstLineChars="200"/>
        <w:rPr>
          <w:rFonts w:hint="eastAsia" w:ascii="宋体" w:hAnsi="宋体"/>
          <w:szCs w:val="24"/>
        </w:rPr>
      </w:pPr>
      <w:r>
        <w:rPr>
          <w:rFonts w:hint="eastAsia" w:ascii="宋体" w:hAnsi="宋体"/>
          <w:szCs w:val="24"/>
        </w:rPr>
        <w:t>①“单位名称”：广州医科大学附属第三医院</w:t>
      </w:r>
    </w:p>
    <w:p w14:paraId="62567348">
      <w:pPr>
        <w:autoSpaceDE w:val="0"/>
        <w:autoSpaceDN w:val="0"/>
        <w:ind w:firstLine="480" w:firstLineChars="200"/>
        <w:rPr>
          <w:rFonts w:hint="eastAsia" w:ascii="宋体" w:hAnsi="宋体"/>
          <w:szCs w:val="24"/>
        </w:rPr>
      </w:pPr>
      <w:r>
        <w:rPr>
          <w:rFonts w:hint="eastAsia" w:ascii="宋体" w:hAnsi="宋体"/>
          <w:szCs w:val="24"/>
        </w:rPr>
        <w:t>②“项目名称”：广州医科大学附属第三医院中药饮片供应及代煎代配服务采购项目</w:t>
      </w:r>
    </w:p>
    <w:p w14:paraId="45EEBF17">
      <w:pPr>
        <w:autoSpaceDE w:val="0"/>
        <w:autoSpaceDN w:val="0"/>
        <w:ind w:firstLine="480" w:firstLineChars="200"/>
        <w:rPr>
          <w:rFonts w:hint="eastAsia" w:ascii="宋体" w:hAnsi="宋体"/>
          <w:szCs w:val="24"/>
        </w:rPr>
      </w:pPr>
      <w:r>
        <w:rPr>
          <w:rFonts w:hint="eastAsia" w:ascii="宋体" w:hAnsi="宋体"/>
          <w:szCs w:val="24"/>
        </w:rPr>
        <w:t>③“标的名称”：广州医科大学附属第三医院中药饮片供应及代煎代配服务采购项目</w:t>
      </w:r>
    </w:p>
    <w:p w14:paraId="153787F3">
      <w:pPr>
        <w:autoSpaceDE w:val="0"/>
        <w:autoSpaceDN w:val="0"/>
        <w:ind w:firstLine="480" w:firstLineChars="200"/>
        <w:rPr>
          <w:rFonts w:hint="eastAsia" w:ascii="宋体" w:hAnsi="宋体"/>
          <w:szCs w:val="24"/>
        </w:rPr>
      </w:pPr>
      <w:r>
        <w:rPr>
          <w:rFonts w:hint="eastAsia" w:ascii="宋体" w:hAnsi="宋体"/>
          <w:szCs w:val="24"/>
        </w:rPr>
        <w:t>④正文中的“企业名称”：指承接本项目的单位（服务类项目，指投标人；货物类项目，指所投产品制造商）；落款的“企业名称（盖章）”指投标（响应）供应商。</w:t>
      </w:r>
    </w:p>
    <w:p w14:paraId="3AFCE611">
      <w:pPr>
        <w:autoSpaceDE w:val="0"/>
        <w:autoSpaceDN w:val="0"/>
        <w:rPr>
          <w:rFonts w:hint="eastAsia" w:ascii="宋体" w:hAnsi="宋体"/>
          <w:szCs w:val="24"/>
        </w:rPr>
      </w:pPr>
      <w:r>
        <w:rPr>
          <w:rFonts w:hint="eastAsia" w:ascii="宋体" w:hAnsi="宋体"/>
          <w:szCs w:val="24"/>
        </w:rPr>
        <w:t>（二）样品要求</w:t>
      </w:r>
    </w:p>
    <w:p w14:paraId="6BEDC1BF">
      <w:pPr>
        <w:autoSpaceDE w:val="0"/>
        <w:autoSpaceDN w:val="0"/>
        <w:ind w:firstLine="480" w:firstLineChars="200"/>
        <w:rPr>
          <w:rFonts w:hint="eastAsia" w:ascii="宋体" w:hAnsi="宋体"/>
          <w:szCs w:val="24"/>
        </w:rPr>
      </w:pPr>
      <w:r>
        <w:rPr>
          <w:rFonts w:hint="eastAsia" w:ascii="宋体" w:hAnsi="宋体"/>
          <w:szCs w:val="24"/>
        </w:rPr>
        <w:t>1.提交样品时间：在投标截止日当天8点30分至投标截止时间前，须提供样品：北柴胡、牡蛎、干益母草、甘草、桑寄生、黄芩片、葛根、苦杏仁、熟地黄、</w:t>
      </w:r>
      <w:r>
        <w:rPr>
          <w:rFonts w:hint="eastAsia" w:ascii="宋体" w:hAnsi="宋体"/>
          <w:szCs w:val="24"/>
          <w:lang w:eastAsia="zh-CN"/>
        </w:rPr>
        <w:t>麸炒枳壳、姜厚朴、</w:t>
      </w:r>
      <w:r>
        <w:rPr>
          <w:rFonts w:hint="eastAsia" w:ascii="宋体" w:hAnsi="宋体"/>
          <w:szCs w:val="24"/>
        </w:rPr>
        <w:t>枸杞子、续断</w:t>
      </w:r>
      <w:r>
        <w:rPr>
          <w:rFonts w:hint="eastAsia" w:ascii="宋体" w:hAnsi="宋体"/>
          <w:szCs w:val="24"/>
          <w:lang w:eastAsia="zh-CN"/>
        </w:rPr>
        <w:t>片</w:t>
      </w:r>
      <w:r>
        <w:rPr>
          <w:rFonts w:hint="eastAsia" w:ascii="宋体" w:hAnsi="宋体"/>
          <w:szCs w:val="24"/>
        </w:rPr>
        <w:t>、莲子、</w:t>
      </w:r>
      <w:r>
        <w:rPr>
          <w:rFonts w:hint="eastAsia" w:ascii="宋体" w:hAnsi="宋体"/>
          <w:szCs w:val="24"/>
          <w:lang w:eastAsia="zh-CN"/>
        </w:rPr>
        <w:t>鱼腥草</w:t>
      </w:r>
      <w:r>
        <w:rPr>
          <w:rFonts w:hint="eastAsia" w:ascii="宋体" w:hAnsi="宋体"/>
          <w:szCs w:val="24"/>
        </w:rPr>
        <w:t>。</w:t>
      </w:r>
    </w:p>
    <w:p w14:paraId="5A6FE139">
      <w:pPr>
        <w:autoSpaceDE w:val="0"/>
        <w:autoSpaceDN w:val="0"/>
        <w:ind w:firstLine="480" w:firstLineChars="200"/>
        <w:rPr>
          <w:rFonts w:hint="eastAsia" w:ascii="宋体" w:hAnsi="宋体"/>
          <w:szCs w:val="24"/>
        </w:rPr>
      </w:pPr>
      <w:r>
        <w:rPr>
          <w:rFonts w:hint="eastAsia" w:ascii="宋体" w:hAnsi="宋体"/>
          <w:szCs w:val="24"/>
        </w:rPr>
        <w:t>2.提交样品地点：广东华伦招标公司（详细地址：广州市越秀区广仁路1号广仁大厦6楼）。</w:t>
      </w:r>
    </w:p>
    <w:p w14:paraId="6D69118B">
      <w:pPr>
        <w:autoSpaceDE w:val="0"/>
        <w:autoSpaceDN w:val="0"/>
        <w:ind w:firstLine="480" w:firstLineChars="200"/>
        <w:rPr>
          <w:rFonts w:hint="eastAsia" w:ascii="宋体" w:hAnsi="宋体"/>
          <w:szCs w:val="24"/>
        </w:rPr>
      </w:pPr>
      <w:r>
        <w:rPr>
          <w:rFonts w:hint="eastAsia" w:ascii="宋体" w:hAnsi="宋体"/>
          <w:szCs w:val="24"/>
        </w:rPr>
        <w:t>3.提交样品要求：样品需密封包装提供，箱外贴明投标人名称和项目名称。投标人提供虚假样品或者借用、冒用其他投标人样品的，评审委员会按无效投标处理。评审结束后发现此类情况的，采购人有权拒签或取消采购合同。</w:t>
      </w:r>
    </w:p>
    <w:p w14:paraId="734DC00F">
      <w:pPr>
        <w:autoSpaceDE w:val="0"/>
        <w:autoSpaceDN w:val="0"/>
        <w:ind w:firstLine="480" w:firstLineChars="200"/>
        <w:rPr>
          <w:rFonts w:hint="eastAsia" w:ascii="宋体" w:hAnsi="宋体"/>
          <w:szCs w:val="24"/>
        </w:rPr>
      </w:pPr>
      <w:r>
        <w:rPr>
          <w:rFonts w:hint="eastAsia" w:ascii="宋体" w:hAnsi="宋体"/>
          <w:szCs w:val="24"/>
        </w:rPr>
        <w:t>4.提交样品其他要求：</w:t>
      </w:r>
    </w:p>
    <w:tbl>
      <w:tblPr>
        <w:tblStyle w:val="9"/>
        <w:tblW w:w="0" w:type="auto"/>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38"/>
        <w:gridCol w:w="2316"/>
        <w:gridCol w:w="1250"/>
        <w:gridCol w:w="1667"/>
        <w:gridCol w:w="3216"/>
      </w:tblGrid>
      <w:tr w14:paraId="46B257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8" w:type="dxa"/>
            <w:tcBorders>
              <w:top w:val="single" w:color="000000" w:sz="8" w:space="0"/>
              <w:left w:val="single" w:color="000000" w:sz="8" w:space="0"/>
              <w:bottom w:val="single" w:color="000000" w:sz="4" w:space="0"/>
              <w:right w:val="single" w:color="000000" w:sz="4" w:space="0"/>
            </w:tcBorders>
            <w:shd w:val="clear" w:color="auto" w:fill="EEECE1"/>
            <w:tcMar>
              <w:top w:w="0" w:type="dxa"/>
              <w:left w:w="105" w:type="dxa"/>
              <w:bottom w:w="0" w:type="dxa"/>
              <w:right w:w="105" w:type="dxa"/>
            </w:tcMar>
            <w:vAlign w:val="bottom"/>
          </w:tcPr>
          <w:p w14:paraId="507DD511">
            <w:pPr>
              <w:spacing w:line="300" w:lineRule="auto"/>
              <w:jc w:val="center"/>
              <w:rPr>
                <w:rFonts w:ascii="宋体" w:hAnsi="宋体" w:cs="宋体"/>
                <w:szCs w:val="21"/>
                <w:lang w:eastAsia="zh-Hans"/>
              </w:rPr>
            </w:pPr>
            <w:r>
              <w:rPr>
                <w:rFonts w:hint="eastAsia" w:ascii="宋体" w:hAnsi="宋体" w:cs="宋体"/>
                <w:b/>
                <w:sz w:val="21"/>
                <w:szCs w:val="21"/>
                <w:lang w:eastAsia="zh-Hans"/>
              </w:rPr>
              <w:t>序号</w:t>
            </w:r>
          </w:p>
        </w:tc>
        <w:tc>
          <w:tcPr>
            <w:tcW w:w="2316" w:type="dxa"/>
            <w:tcBorders>
              <w:top w:val="single" w:color="000000" w:sz="8" w:space="0"/>
              <w:left w:val="single" w:color="000000" w:sz="4" w:space="0"/>
              <w:bottom w:val="single" w:color="000000" w:sz="4" w:space="0"/>
              <w:right w:val="single" w:color="000000" w:sz="4" w:space="0"/>
            </w:tcBorders>
            <w:shd w:val="clear" w:color="auto" w:fill="EEECE1"/>
            <w:tcMar>
              <w:top w:w="0" w:type="dxa"/>
              <w:left w:w="105" w:type="dxa"/>
              <w:bottom w:w="0" w:type="dxa"/>
              <w:right w:w="105" w:type="dxa"/>
            </w:tcMar>
            <w:vAlign w:val="bottom"/>
          </w:tcPr>
          <w:p w14:paraId="60AFA606">
            <w:pPr>
              <w:spacing w:line="300" w:lineRule="auto"/>
              <w:jc w:val="center"/>
              <w:rPr>
                <w:rFonts w:ascii="宋体" w:hAnsi="宋体" w:cs="宋体"/>
                <w:szCs w:val="21"/>
                <w:lang w:eastAsia="zh-Hans"/>
              </w:rPr>
            </w:pPr>
            <w:r>
              <w:rPr>
                <w:rFonts w:hint="eastAsia" w:ascii="宋体" w:hAnsi="宋体" w:cs="宋体"/>
                <w:b/>
                <w:sz w:val="21"/>
                <w:szCs w:val="21"/>
                <w:lang w:eastAsia="zh-Hans"/>
              </w:rPr>
              <w:t>样品名称</w:t>
            </w:r>
          </w:p>
        </w:tc>
        <w:tc>
          <w:tcPr>
            <w:tcW w:w="1250" w:type="dxa"/>
            <w:tcBorders>
              <w:top w:val="single" w:color="000000" w:sz="8" w:space="0"/>
              <w:left w:val="single" w:color="000000" w:sz="4" w:space="0"/>
              <w:bottom w:val="single" w:color="000000" w:sz="4" w:space="0"/>
              <w:right w:val="single" w:color="000000" w:sz="4" w:space="0"/>
            </w:tcBorders>
            <w:shd w:val="clear" w:color="auto" w:fill="EEECE1"/>
            <w:tcMar>
              <w:top w:w="0" w:type="dxa"/>
              <w:left w:w="105" w:type="dxa"/>
              <w:bottom w:w="0" w:type="dxa"/>
              <w:right w:w="105" w:type="dxa"/>
            </w:tcMar>
            <w:vAlign w:val="bottom"/>
          </w:tcPr>
          <w:p w14:paraId="0D2E8194">
            <w:pPr>
              <w:spacing w:line="300" w:lineRule="auto"/>
              <w:jc w:val="center"/>
              <w:rPr>
                <w:rFonts w:ascii="宋体" w:hAnsi="宋体" w:cs="宋体"/>
                <w:szCs w:val="21"/>
                <w:lang w:eastAsia="zh-Hans"/>
              </w:rPr>
            </w:pPr>
            <w:r>
              <w:rPr>
                <w:rFonts w:hint="eastAsia" w:ascii="宋体" w:hAnsi="宋体" w:cs="宋体"/>
                <w:b/>
                <w:sz w:val="21"/>
                <w:szCs w:val="21"/>
              </w:rPr>
              <w:t>规格</w:t>
            </w:r>
          </w:p>
        </w:tc>
        <w:tc>
          <w:tcPr>
            <w:tcW w:w="1667" w:type="dxa"/>
            <w:tcBorders>
              <w:top w:val="single" w:color="000000" w:sz="8" w:space="0"/>
              <w:left w:val="single" w:color="000000" w:sz="4" w:space="0"/>
              <w:bottom w:val="single" w:color="000000" w:sz="4" w:space="0"/>
              <w:right w:val="single" w:color="000000" w:sz="8" w:space="0"/>
            </w:tcBorders>
            <w:shd w:val="clear" w:color="auto" w:fill="EEECE1"/>
            <w:tcMar>
              <w:top w:w="0" w:type="dxa"/>
              <w:left w:w="105" w:type="dxa"/>
              <w:bottom w:w="0" w:type="dxa"/>
              <w:right w:w="105" w:type="dxa"/>
            </w:tcMar>
            <w:vAlign w:val="bottom"/>
          </w:tcPr>
          <w:p w14:paraId="1750A614">
            <w:pPr>
              <w:spacing w:line="300" w:lineRule="auto"/>
              <w:jc w:val="center"/>
              <w:rPr>
                <w:rFonts w:hint="eastAsia" w:ascii="宋体" w:hAnsi="宋体" w:cs="宋体"/>
                <w:b/>
                <w:sz w:val="21"/>
                <w:szCs w:val="21"/>
              </w:rPr>
            </w:pPr>
            <w:bookmarkStart w:id="4" w:name="OLE_LINK25"/>
            <w:r>
              <w:rPr>
                <w:rFonts w:hint="eastAsia" w:ascii="宋体" w:hAnsi="宋体" w:cs="宋体"/>
                <w:b/>
                <w:sz w:val="21"/>
                <w:szCs w:val="21"/>
                <w:lang w:eastAsia="zh-Hans"/>
              </w:rPr>
              <w:t>数量</w:t>
            </w:r>
          </w:p>
        </w:tc>
        <w:tc>
          <w:tcPr>
            <w:tcW w:w="3216" w:type="dxa"/>
            <w:tcBorders>
              <w:top w:val="single" w:color="000000" w:sz="8" w:space="0"/>
              <w:left w:val="single" w:color="000000" w:sz="4" w:space="0"/>
              <w:bottom w:val="single" w:color="000000" w:sz="4" w:space="0"/>
              <w:right w:val="single" w:color="000000" w:sz="8" w:space="0"/>
            </w:tcBorders>
            <w:shd w:val="clear" w:color="auto" w:fill="EEECE1"/>
            <w:tcMar>
              <w:top w:w="0" w:type="dxa"/>
              <w:left w:w="105" w:type="dxa"/>
              <w:bottom w:w="0" w:type="dxa"/>
              <w:right w:w="105" w:type="dxa"/>
            </w:tcMar>
            <w:vAlign w:val="bottom"/>
          </w:tcPr>
          <w:p w14:paraId="6409D30B">
            <w:pPr>
              <w:spacing w:line="300" w:lineRule="auto"/>
              <w:jc w:val="center"/>
              <w:rPr>
                <w:rFonts w:ascii="宋体" w:hAnsi="宋体" w:cs="宋体"/>
                <w:szCs w:val="21"/>
              </w:rPr>
            </w:pPr>
            <w:r>
              <w:rPr>
                <w:rFonts w:hint="eastAsia" w:ascii="宋体" w:hAnsi="宋体" w:cs="宋体"/>
                <w:b/>
                <w:sz w:val="21"/>
                <w:szCs w:val="21"/>
              </w:rPr>
              <w:t>质量标准</w:t>
            </w:r>
            <w:bookmarkEnd w:id="4"/>
          </w:p>
        </w:tc>
      </w:tr>
      <w:tr w14:paraId="35BE1B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8" w:type="dxa"/>
            <w:tcBorders>
              <w:top w:val="single" w:color="000000" w:sz="4" w:space="0"/>
              <w:left w:val="single" w:color="000000" w:sz="8" w:space="0"/>
              <w:bottom w:val="single" w:color="000000" w:sz="4" w:space="0"/>
              <w:right w:val="single" w:color="000000" w:sz="4" w:space="0"/>
            </w:tcBorders>
            <w:tcMar>
              <w:top w:w="0" w:type="dxa"/>
              <w:left w:w="105" w:type="dxa"/>
              <w:bottom w:w="0" w:type="dxa"/>
              <w:right w:w="105" w:type="dxa"/>
            </w:tcMar>
          </w:tcPr>
          <w:p w14:paraId="6FD32F78">
            <w:pPr>
              <w:spacing w:line="300" w:lineRule="auto"/>
              <w:jc w:val="center"/>
              <w:rPr>
                <w:rFonts w:ascii="宋体" w:hAnsi="宋体" w:cs="宋体"/>
                <w:szCs w:val="21"/>
                <w:lang w:eastAsia="zh-Hans"/>
              </w:rPr>
            </w:pPr>
            <w:r>
              <w:rPr>
                <w:rFonts w:hint="eastAsia" w:ascii="宋体" w:hAnsi="宋体" w:cs="宋体"/>
                <w:sz w:val="21"/>
                <w:szCs w:val="21"/>
                <w:lang w:eastAsia="zh-Hans"/>
              </w:rPr>
              <w:t>1</w:t>
            </w:r>
          </w:p>
        </w:tc>
        <w:tc>
          <w:tcPr>
            <w:tcW w:w="231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5148A1DB">
            <w:pPr>
              <w:spacing w:line="300" w:lineRule="auto"/>
              <w:jc w:val="center"/>
              <w:rPr>
                <w:rFonts w:ascii="宋体" w:hAnsi="宋体" w:cs="宋体"/>
                <w:szCs w:val="21"/>
                <w:lang w:eastAsia="zh-Hans"/>
              </w:rPr>
            </w:pPr>
            <w:r>
              <w:rPr>
                <w:rFonts w:hint="eastAsia" w:ascii="宋体" w:hAnsi="宋体" w:cs="宋体"/>
                <w:sz w:val="21"/>
                <w:szCs w:val="21"/>
              </w:rPr>
              <w:t>北柴胡</w:t>
            </w:r>
          </w:p>
        </w:tc>
        <w:tc>
          <w:tcPr>
            <w:tcW w:w="12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4DF88AA8">
            <w:pPr>
              <w:spacing w:line="300" w:lineRule="auto"/>
              <w:jc w:val="center"/>
              <w:rPr>
                <w:rFonts w:ascii="宋体" w:hAnsi="宋体" w:cs="宋体"/>
                <w:szCs w:val="21"/>
                <w:lang w:eastAsia="zh-Hans"/>
              </w:rPr>
            </w:pPr>
            <w:r>
              <w:rPr>
                <w:rFonts w:hint="eastAsia" w:ascii="宋体" w:hAnsi="宋体" w:cs="宋体"/>
                <w:sz w:val="21"/>
                <w:szCs w:val="21"/>
                <w:lang w:eastAsia="zh-Hans"/>
              </w:rPr>
              <w:t>10g</w:t>
            </w:r>
          </w:p>
        </w:tc>
        <w:tc>
          <w:tcPr>
            <w:tcW w:w="1667" w:type="dxa"/>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tcPr>
          <w:p w14:paraId="00C20BE9">
            <w:pPr>
              <w:spacing w:line="300" w:lineRule="auto"/>
              <w:jc w:val="center"/>
              <w:rPr>
                <w:rFonts w:hint="eastAsia" w:ascii="宋体" w:hAnsi="宋体" w:cs="宋体"/>
                <w:sz w:val="21"/>
                <w:szCs w:val="21"/>
              </w:rPr>
            </w:pPr>
            <w:bookmarkStart w:id="5" w:name="OLE_LINK62"/>
            <w:r>
              <w:rPr>
                <w:rFonts w:hint="eastAsia" w:ascii="宋体" w:hAnsi="宋体" w:cs="宋体"/>
                <w:sz w:val="21"/>
                <w:szCs w:val="21"/>
              </w:rPr>
              <w:t>2袋</w:t>
            </w:r>
          </w:p>
        </w:tc>
        <w:tc>
          <w:tcPr>
            <w:tcW w:w="3216" w:type="dxa"/>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tcPr>
          <w:p w14:paraId="70E33E95">
            <w:pPr>
              <w:spacing w:line="300" w:lineRule="auto"/>
              <w:jc w:val="center"/>
              <w:rPr>
                <w:rFonts w:ascii="宋体" w:hAnsi="宋体" w:cs="宋体"/>
                <w:szCs w:val="21"/>
              </w:rPr>
            </w:pPr>
            <w:r>
              <w:rPr>
                <w:color w:val="000000"/>
                <w:sz w:val="21"/>
              </w:rPr>
              <w:t>Ch.P.202</w:t>
            </w:r>
            <w:r>
              <w:rPr>
                <w:rFonts w:hint="eastAsia"/>
                <w:color w:val="000000"/>
                <w:sz w:val="21"/>
              </w:rPr>
              <w:t>5</w:t>
            </w:r>
            <w:r>
              <w:rPr>
                <w:color w:val="000000"/>
                <w:sz w:val="21"/>
              </w:rPr>
              <w:t>一部</w:t>
            </w:r>
            <w:bookmarkEnd w:id="5"/>
          </w:p>
        </w:tc>
      </w:tr>
      <w:tr w14:paraId="70DD3C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8" w:type="dxa"/>
            <w:tcBorders>
              <w:top w:val="single" w:color="000000" w:sz="4" w:space="0"/>
              <w:left w:val="single" w:color="000000" w:sz="8" w:space="0"/>
              <w:bottom w:val="single" w:color="000000" w:sz="4" w:space="0"/>
              <w:right w:val="single" w:color="000000" w:sz="4" w:space="0"/>
            </w:tcBorders>
            <w:tcMar>
              <w:top w:w="0" w:type="dxa"/>
              <w:left w:w="105" w:type="dxa"/>
              <w:bottom w:w="0" w:type="dxa"/>
              <w:right w:w="105" w:type="dxa"/>
            </w:tcMar>
          </w:tcPr>
          <w:p w14:paraId="2D8B287E">
            <w:pPr>
              <w:spacing w:line="300" w:lineRule="auto"/>
              <w:jc w:val="center"/>
              <w:rPr>
                <w:rFonts w:ascii="宋体" w:hAnsi="宋体" w:cs="宋体"/>
                <w:szCs w:val="21"/>
                <w:lang w:eastAsia="zh-Hans"/>
              </w:rPr>
            </w:pPr>
            <w:r>
              <w:rPr>
                <w:rFonts w:hint="eastAsia" w:ascii="宋体" w:hAnsi="宋体" w:cs="宋体"/>
                <w:sz w:val="21"/>
                <w:szCs w:val="21"/>
                <w:lang w:eastAsia="zh-Hans"/>
              </w:rPr>
              <w:t>2</w:t>
            </w:r>
          </w:p>
        </w:tc>
        <w:tc>
          <w:tcPr>
            <w:tcW w:w="231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2220C21F">
            <w:pPr>
              <w:spacing w:line="300" w:lineRule="auto"/>
              <w:jc w:val="center"/>
              <w:rPr>
                <w:rFonts w:ascii="宋体" w:hAnsi="宋体" w:cs="宋体"/>
                <w:szCs w:val="21"/>
                <w:lang w:eastAsia="zh-Hans"/>
              </w:rPr>
            </w:pPr>
            <w:r>
              <w:rPr>
                <w:rFonts w:hint="eastAsia" w:ascii="宋体" w:hAnsi="宋体" w:cs="宋体"/>
                <w:sz w:val="21"/>
                <w:szCs w:val="21"/>
              </w:rPr>
              <w:t>牡蛎</w:t>
            </w:r>
          </w:p>
        </w:tc>
        <w:tc>
          <w:tcPr>
            <w:tcW w:w="12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61E62F4E">
            <w:pPr>
              <w:spacing w:line="300" w:lineRule="auto"/>
              <w:jc w:val="center"/>
              <w:rPr>
                <w:rFonts w:ascii="宋体" w:hAnsi="宋体" w:cs="宋体"/>
                <w:szCs w:val="21"/>
                <w:lang w:eastAsia="zh-Hans"/>
              </w:rPr>
            </w:pPr>
            <w:r>
              <w:rPr>
                <w:rFonts w:hint="eastAsia" w:ascii="宋体" w:hAnsi="宋体" w:cs="宋体"/>
                <w:sz w:val="21"/>
                <w:szCs w:val="21"/>
                <w:lang w:eastAsia="zh-Hans"/>
              </w:rPr>
              <w:t>10g</w:t>
            </w:r>
          </w:p>
        </w:tc>
        <w:tc>
          <w:tcPr>
            <w:tcW w:w="1667" w:type="dxa"/>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tcPr>
          <w:p w14:paraId="74599F4B">
            <w:pPr>
              <w:spacing w:line="300" w:lineRule="auto"/>
              <w:jc w:val="center"/>
              <w:rPr>
                <w:rFonts w:ascii="宋体" w:hAnsi="宋体" w:cs="宋体"/>
                <w:sz w:val="21"/>
                <w:szCs w:val="21"/>
              </w:rPr>
            </w:pPr>
            <w:r>
              <w:rPr>
                <w:rFonts w:hint="eastAsia" w:ascii="宋体" w:hAnsi="宋体" w:cs="宋体"/>
                <w:sz w:val="21"/>
                <w:szCs w:val="21"/>
              </w:rPr>
              <w:t>2袋</w:t>
            </w:r>
          </w:p>
        </w:tc>
        <w:tc>
          <w:tcPr>
            <w:tcW w:w="3216" w:type="dxa"/>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tcPr>
          <w:p w14:paraId="04F55CDC">
            <w:pPr>
              <w:spacing w:line="300" w:lineRule="auto"/>
              <w:jc w:val="center"/>
              <w:rPr>
                <w:rFonts w:ascii="宋体" w:hAnsi="宋体" w:cs="宋体"/>
                <w:szCs w:val="21"/>
                <w:lang w:eastAsia="zh-Hans"/>
              </w:rPr>
            </w:pPr>
            <w:r>
              <w:rPr>
                <w:color w:val="000000"/>
                <w:sz w:val="21"/>
              </w:rPr>
              <w:t>Ch.P.202</w:t>
            </w:r>
            <w:r>
              <w:rPr>
                <w:rFonts w:hint="eastAsia"/>
                <w:color w:val="000000"/>
                <w:sz w:val="21"/>
              </w:rPr>
              <w:t>5</w:t>
            </w:r>
            <w:r>
              <w:rPr>
                <w:color w:val="000000"/>
                <w:sz w:val="21"/>
              </w:rPr>
              <w:t>一部</w:t>
            </w:r>
          </w:p>
        </w:tc>
      </w:tr>
      <w:tr w14:paraId="37CA58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8" w:type="dxa"/>
            <w:tcBorders>
              <w:top w:val="single" w:color="000000" w:sz="4" w:space="0"/>
              <w:left w:val="single" w:color="000000" w:sz="8" w:space="0"/>
              <w:bottom w:val="single" w:color="000000" w:sz="4" w:space="0"/>
              <w:right w:val="single" w:color="000000" w:sz="4" w:space="0"/>
            </w:tcBorders>
            <w:tcMar>
              <w:top w:w="0" w:type="dxa"/>
              <w:left w:w="105" w:type="dxa"/>
              <w:bottom w:w="0" w:type="dxa"/>
              <w:right w:w="105" w:type="dxa"/>
            </w:tcMar>
          </w:tcPr>
          <w:p w14:paraId="56B11913">
            <w:pPr>
              <w:spacing w:line="300" w:lineRule="auto"/>
              <w:jc w:val="center"/>
              <w:rPr>
                <w:rFonts w:ascii="宋体" w:hAnsi="宋体" w:cs="宋体"/>
                <w:szCs w:val="21"/>
                <w:lang w:eastAsia="zh-Hans"/>
              </w:rPr>
            </w:pPr>
            <w:r>
              <w:rPr>
                <w:rFonts w:hint="eastAsia" w:ascii="宋体" w:hAnsi="宋体" w:cs="宋体"/>
                <w:sz w:val="21"/>
                <w:szCs w:val="21"/>
                <w:lang w:eastAsia="zh-Hans"/>
              </w:rPr>
              <w:t>3</w:t>
            </w:r>
          </w:p>
        </w:tc>
        <w:tc>
          <w:tcPr>
            <w:tcW w:w="231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520CA91A">
            <w:pPr>
              <w:spacing w:line="300" w:lineRule="auto"/>
              <w:jc w:val="center"/>
              <w:rPr>
                <w:rFonts w:ascii="宋体" w:hAnsi="宋体" w:cs="宋体"/>
                <w:szCs w:val="21"/>
                <w:lang w:eastAsia="zh-Hans"/>
              </w:rPr>
            </w:pPr>
            <w:r>
              <w:rPr>
                <w:rFonts w:hint="eastAsia" w:ascii="宋体" w:hAnsi="宋体" w:cs="宋体"/>
                <w:sz w:val="21"/>
                <w:szCs w:val="21"/>
              </w:rPr>
              <w:t>干益母草</w:t>
            </w:r>
          </w:p>
        </w:tc>
        <w:tc>
          <w:tcPr>
            <w:tcW w:w="12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1576F9BA">
            <w:pPr>
              <w:spacing w:line="300" w:lineRule="auto"/>
              <w:jc w:val="center"/>
              <w:rPr>
                <w:rFonts w:ascii="宋体" w:hAnsi="宋体" w:cs="宋体"/>
                <w:szCs w:val="21"/>
                <w:lang w:eastAsia="zh-Hans"/>
              </w:rPr>
            </w:pPr>
            <w:r>
              <w:rPr>
                <w:rFonts w:hint="eastAsia" w:ascii="宋体" w:hAnsi="宋体" w:cs="宋体"/>
                <w:sz w:val="21"/>
                <w:szCs w:val="21"/>
                <w:lang w:eastAsia="zh-Hans"/>
              </w:rPr>
              <w:t>10g</w:t>
            </w:r>
          </w:p>
        </w:tc>
        <w:tc>
          <w:tcPr>
            <w:tcW w:w="1667" w:type="dxa"/>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tcPr>
          <w:p w14:paraId="6963B9DB">
            <w:pPr>
              <w:spacing w:line="300" w:lineRule="auto"/>
              <w:jc w:val="center"/>
              <w:rPr>
                <w:rFonts w:ascii="宋体" w:hAnsi="宋体" w:cs="宋体"/>
                <w:sz w:val="21"/>
                <w:szCs w:val="21"/>
              </w:rPr>
            </w:pPr>
            <w:r>
              <w:rPr>
                <w:rFonts w:hint="eastAsia" w:ascii="宋体" w:hAnsi="宋体" w:cs="宋体"/>
                <w:sz w:val="21"/>
                <w:szCs w:val="21"/>
              </w:rPr>
              <w:t>2袋</w:t>
            </w:r>
          </w:p>
        </w:tc>
        <w:tc>
          <w:tcPr>
            <w:tcW w:w="3216" w:type="dxa"/>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tcPr>
          <w:p w14:paraId="0FA1CF92">
            <w:pPr>
              <w:spacing w:line="300" w:lineRule="auto"/>
              <w:jc w:val="center"/>
              <w:rPr>
                <w:rFonts w:ascii="宋体" w:hAnsi="宋体" w:cs="宋体"/>
                <w:szCs w:val="21"/>
                <w:lang w:eastAsia="zh-Hans"/>
              </w:rPr>
            </w:pPr>
            <w:r>
              <w:rPr>
                <w:color w:val="000000"/>
                <w:sz w:val="21"/>
              </w:rPr>
              <w:t>Ch.P.202</w:t>
            </w:r>
            <w:r>
              <w:rPr>
                <w:rFonts w:hint="eastAsia"/>
                <w:color w:val="000000"/>
                <w:sz w:val="21"/>
              </w:rPr>
              <w:t>5</w:t>
            </w:r>
            <w:r>
              <w:rPr>
                <w:color w:val="000000"/>
                <w:sz w:val="21"/>
              </w:rPr>
              <w:t>一部</w:t>
            </w:r>
          </w:p>
        </w:tc>
      </w:tr>
      <w:tr w14:paraId="1D26FA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8" w:type="dxa"/>
            <w:tcBorders>
              <w:top w:val="single" w:color="000000" w:sz="4" w:space="0"/>
              <w:left w:val="single" w:color="000000" w:sz="8" w:space="0"/>
              <w:bottom w:val="single" w:color="000000" w:sz="4" w:space="0"/>
              <w:right w:val="single" w:color="000000" w:sz="4" w:space="0"/>
            </w:tcBorders>
            <w:tcMar>
              <w:top w:w="0" w:type="dxa"/>
              <w:left w:w="105" w:type="dxa"/>
              <w:bottom w:w="0" w:type="dxa"/>
              <w:right w:w="105" w:type="dxa"/>
            </w:tcMar>
          </w:tcPr>
          <w:p w14:paraId="322761A5">
            <w:pPr>
              <w:spacing w:line="300" w:lineRule="auto"/>
              <w:jc w:val="center"/>
              <w:rPr>
                <w:rFonts w:ascii="宋体" w:hAnsi="宋体" w:cs="宋体"/>
                <w:szCs w:val="21"/>
                <w:lang w:eastAsia="zh-Hans"/>
              </w:rPr>
            </w:pPr>
            <w:r>
              <w:rPr>
                <w:rFonts w:hint="eastAsia" w:ascii="宋体" w:hAnsi="宋体" w:cs="宋体"/>
                <w:sz w:val="21"/>
                <w:szCs w:val="21"/>
                <w:lang w:eastAsia="zh-Hans"/>
              </w:rPr>
              <w:t>4</w:t>
            </w:r>
          </w:p>
        </w:tc>
        <w:tc>
          <w:tcPr>
            <w:tcW w:w="231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387C0C41">
            <w:pPr>
              <w:spacing w:line="300" w:lineRule="auto"/>
              <w:jc w:val="center"/>
              <w:rPr>
                <w:rFonts w:ascii="宋体" w:hAnsi="宋体" w:cs="宋体"/>
                <w:szCs w:val="21"/>
                <w:lang w:eastAsia="zh-Hans"/>
              </w:rPr>
            </w:pPr>
            <w:r>
              <w:rPr>
                <w:rFonts w:hint="eastAsia" w:ascii="宋体" w:hAnsi="宋体" w:cs="宋体"/>
                <w:sz w:val="21"/>
                <w:szCs w:val="21"/>
              </w:rPr>
              <w:t>甘草</w:t>
            </w:r>
          </w:p>
        </w:tc>
        <w:tc>
          <w:tcPr>
            <w:tcW w:w="12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6A262F12">
            <w:pPr>
              <w:spacing w:line="300" w:lineRule="auto"/>
              <w:jc w:val="center"/>
              <w:rPr>
                <w:rFonts w:ascii="宋体" w:hAnsi="宋体" w:cs="宋体"/>
                <w:szCs w:val="21"/>
                <w:lang w:eastAsia="zh-Hans"/>
              </w:rPr>
            </w:pPr>
            <w:r>
              <w:rPr>
                <w:rFonts w:hint="eastAsia" w:ascii="宋体" w:hAnsi="宋体" w:cs="宋体"/>
                <w:sz w:val="21"/>
                <w:szCs w:val="21"/>
                <w:lang w:eastAsia="zh-Hans"/>
              </w:rPr>
              <w:t>10g</w:t>
            </w:r>
          </w:p>
        </w:tc>
        <w:tc>
          <w:tcPr>
            <w:tcW w:w="1667" w:type="dxa"/>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tcPr>
          <w:p w14:paraId="187EF904">
            <w:pPr>
              <w:spacing w:line="300" w:lineRule="auto"/>
              <w:jc w:val="center"/>
              <w:rPr>
                <w:rFonts w:ascii="宋体" w:hAnsi="宋体" w:cs="宋体"/>
                <w:sz w:val="21"/>
                <w:szCs w:val="21"/>
              </w:rPr>
            </w:pPr>
            <w:r>
              <w:rPr>
                <w:rFonts w:hint="eastAsia" w:ascii="宋体" w:hAnsi="宋体" w:cs="宋体"/>
                <w:sz w:val="21"/>
                <w:szCs w:val="21"/>
              </w:rPr>
              <w:t>2袋</w:t>
            </w:r>
          </w:p>
        </w:tc>
        <w:tc>
          <w:tcPr>
            <w:tcW w:w="3216" w:type="dxa"/>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tcPr>
          <w:p w14:paraId="592A4861">
            <w:pPr>
              <w:spacing w:line="300" w:lineRule="auto"/>
              <w:jc w:val="center"/>
              <w:rPr>
                <w:rFonts w:ascii="宋体" w:hAnsi="宋体" w:cs="宋体"/>
                <w:szCs w:val="21"/>
                <w:lang w:eastAsia="zh-Hans"/>
              </w:rPr>
            </w:pPr>
            <w:r>
              <w:rPr>
                <w:color w:val="000000"/>
                <w:sz w:val="21"/>
              </w:rPr>
              <w:t>Ch.P.202</w:t>
            </w:r>
            <w:r>
              <w:rPr>
                <w:rFonts w:hint="eastAsia"/>
                <w:color w:val="000000"/>
                <w:sz w:val="21"/>
              </w:rPr>
              <w:t>5</w:t>
            </w:r>
            <w:r>
              <w:rPr>
                <w:color w:val="000000"/>
                <w:sz w:val="21"/>
              </w:rPr>
              <w:t>一部</w:t>
            </w:r>
          </w:p>
        </w:tc>
      </w:tr>
      <w:tr w14:paraId="18887B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8" w:type="dxa"/>
            <w:tcBorders>
              <w:top w:val="single" w:color="000000" w:sz="4" w:space="0"/>
              <w:left w:val="single" w:color="000000" w:sz="8" w:space="0"/>
              <w:bottom w:val="single" w:color="000000" w:sz="4" w:space="0"/>
              <w:right w:val="single" w:color="000000" w:sz="4" w:space="0"/>
            </w:tcBorders>
            <w:tcMar>
              <w:top w:w="0" w:type="dxa"/>
              <w:left w:w="105" w:type="dxa"/>
              <w:bottom w:w="0" w:type="dxa"/>
              <w:right w:w="105" w:type="dxa"/>
            </w:tcMar>
          </w:tcPr>
          <w:p w14:paraId="2F53D4A5">
            <w:pPr>
              <w:spacing w:line="300" w:lineRule="auto"/>
              <w:jc w:val="center"/>
              <w:rPr>
                <w:rFonts w:ascii="宋体" w:hAnsi="宋体" w:cs="宋体"/>
                <w:szCs w:val="21"/>
                <w:lang w:eastAsia="zh-Hans"/>
              </w:rPr>
            </w:pPr>
            <w:r>
              <w:rPr>
                <w:rFonts w:hint="eastAsia" w:ascii="宋体" w:hAnsi="宋体" w:cs="宋体"/>
                <w:sz w:val="21"/>
                <w:szCs w:val="21"/>
                <w:lang w:eastAsia="zh-Hans"/>
              </w:rPr>
              <w:t>5</w:t>
            </w:r>
          </w:p>
        </w:tc>
        <w:tc>
          <w:tcPr>
            <w:tcW w:w="231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07AAD122">
            <w:pPr>
              <w:spacing w:line="300" w:lineRule="auto"/>
              <w:jc w:val="center"/>
              <w:rPr>
                <w:rFonts w:ascii="宋体" w:hAnsi="宋体" w:cs="宋体"/>
                <w:szCs w:val="21"/>
                <w:lang w:eastAsia="zh-Hans"/>
              </w:rPr>
            </w:pPr>
            <w:r>
              <w:rPr>
                <w:rFonts w:hint="eastAsia" w:ascii="宋体" w:hAnsi="宋体" w:cs="宋体"/>
                <w:sz w:val="21"/>
                <w:szCs w:val="21"/>
              </w:rPr>
              <w:t>桑寄生</w:t>
            </w:r>
          </w:p>
        </w:tc>
        <w:tc>
          <w:tcPr>
            <w:tcW w:w="12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45E78D2F">
            <w:pPr>
              <w:spacing w:line="300" w:lineRule="auto"/>
              <w:jc w:val="center"/>
              <w:rPr>
                <w:rFonts w:ascii="宋体" w:hAnsi="宋体" w:cs="宋体"/>
                <w:szCs w:val="21"/>
                <w:lang w:eastAsia="zh-Hans"/>
              </w:rPr>
            </w:pPr>
            <w:r>
              <w:rPr>
                <w:rFonts w:hint="eastAsia" w:ascii="宋体" w:hAnsi="宋体" w:cs="宋体"/>
                <w:sz w:val="21"/>
                <w:szCs w:val="21"/>
                <w:lang w:eastAsia="zh-Hans"/>
              </w:rPr>
              <w:t>10g</w:t>
            </w:r>
          </w:p>
        </w:tc>
        <w:tc>
          <w:tcPr>
            <w:tcW w:w="1667" w:type="dxa"/>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tcPr>
          <w:p w14:paraId="01DA7E71">
            <w:pPr>
              <w:spacing w:line="300" w:lineRule="auto"/>
              <w:jc w:val="center"/>
              <w:rPr>
                <w:rFonts w:ascii="宋体" w:hAnsi="宋体" w:cs="宋体"/>
                <w:sz w:val="21"/>
                <w:szCs w:val="21"/>
              </w:rPr>
            </w:pPr>
            <w:r>
              <w:rPr>
                <w:rFonts w:hint="eastAsia" w:ascii="宋体" w:hAnsi="宋体" w:cs="宋体"/>
                <w:sz w:val="21"/>
                <w:szCs w:val="21"/>
              </w:rPr>
              <w:t>2袋</w:t>
            </w:r>
          </w:p>
        </w:tc>
        <w:tc>
          <w:tcPr>
            <w:tcW w:w="3216" w:type="dxa"/>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tcPr>
          <w:p w14:paraId="5B3E7618">
            <w:pPr>
              <w:spacing w:line="300" w:lineRule="auto"/>
              <w:jc w:val="center"/>
              <w:rPr>
                <w:rFonts w:ascii="宋体" w:hAnsi="宋体" w:cs="宋体"/>
                <w:szCs w:val="21"/>
                <w:lang w:eastAsia="zh-Hans"/>
              </w:rPr>
            </w:pPr>
            <w:r>
              <w:rPr>
                <w:color w:val="000000"/>
                <w:sz w:val="21"/>
              </w:rPr>
              <w:t>Ch.P.202</w:t>
            </w:r>
            <w:r>
              <w:rPr>
                <w:rFonts w:hint="eastAsia"/>
                <w:color w:val="000000"/>
                <w:sz w:val="21"/>
              </w:rPr>
              <w:t>5</w:t>
            </w:r>
            <w:r>
              <w:rPr>
                <w:color w:val="000000"/>
                <w:sz w:val="21"/>
              </w:rPr>
              <w:t>一部</w:t>
            </w:r>
          </w:p>
        </w:tc>
      </w:tr>
      <w:tr w14:paraId="5D3442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8" w:type="dxa"/>
            <w:tcBorders>
              <w:top w:val="single" w:color="000000" w:sz="4" w:space="0"/>
              <w:left w:val="single" w:color="000000" w:sz="8" w:space="0"/>
              <w:bottom w:val="single" w:color="000000" w:sz="4" w:space="0"/>
              <w:right w:val="single" w:color="000000" w:sz="4" w:space="0"/>
            </w:tcBorders>
            <w:tcMar>
              <w:top w:w="0" w:type="dxa"/>
              <w:left w:w="105" w:type="dxa"/>
              <w:bottom w:w="0" w:type="dxa"/>
              <w:right w:w="105" w:type="dxa"/>
            </w:tcMar>
          </w:tcPr>
          <w:p w14:paraId="6E8AE7CB">
            <w:pPr>
              <w:spacing w:line="300" w:lineRule="auto"/>
              <w:jc w:val="center"/>
              <w:rPr>
                <w:rFonts w:ascii="宋体" w:hAnsi="宋体" w:cs="宋体"/>
                <w:szCs w:val="21"/>
                <w:lang w:eastAsia="zh-Hans"/>
              </w:rPr>
            </w:pPr>
            <w:r>
              <w:rPr>
                <w:rFonts w:hint="eastAsia" w:ascii="宋体" w:hAnsi="宋体" w:cs="宋体"/>
                <w:sz w:val="21"/>
                <w:szCs w:val="21"/>
                <w:lang w:eastAsia="zh-Hans"/>
              </w:rPr>
              <w:t>6</w:t>
            </w:r>
          </w:p>
        </w:tc>
        <w:tc>
          <w:tcPr>
            <w:tcW w:w="231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79161F67">
            <w:pPr>
              <w:spacing w:line="300" w:lineRule="auto"/>
              <w:jc w:val="center"/>
              <w:rPr>
                <w:rFonts w:ascii="宋体" w:hAnsi="宋体" w:cs="宋体"/>
                <w:szCs w:val="21"/>
                <w:lang w:eastAsia="zh-Hans"/>
              </w:rPr>
            </w:pPr>
            <w:r>
              <w:rPr>
                <w:rFonts w:hint="eastAsia" w:ascii="宋体" w:hAnsi="宋体" w:cs="宋体"/>
                <w:sz w:val="21"/>
                <w:szCs w:val="21"/>
              </w:rPr>
              <w:t>黄芩片</w:t>
            </w:r>
          </w:p>
        </w:tc>
        <w:tc>
          <w:tcPr>
            <w:tcW w:w="12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1B5CB114">
            <w:pPr>
              <w:spacing w:line="300" w:lineRule="auto"/>
              <w:jc w:val="center"/>
              <w:rPr>
                <w:rFonts w:ascii="宋体" w:hAnsi="宋体" w:cs="宋体"/>
                <w:szCs w:val="21"/>
                <w:lang w:eastAsia="zh-Hans"/>
              </w:rPr>
            </w:pPr>
            <w:r>
              <w:rPr>
                <w:rFonts w:hint="eastAsia" w:ascii="宋体" w:hAnsi="宋体" w:cs="宋体"/>
                <w:sz w:val="21"/>
                <w:szCs w:val="21"/>
                <w:lang w:eastAsia="zh-Hans"/>
              </w:rPr>
              <w:t>10g</w:t>
            </w:r>
          </w:p>
        </w:tc>
        <w:tc>
          <w:tcPr>
            <w:tcW w:w="1667" w:type="dxa"/>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tcPr>
          <w:p w14:paraId="08A14081">
            <w:pPr>
              <w:spacing w:line="300" w:lineRule="auto"/>
              <w:jc w:val="center"/>
              <w:rPr>
                <w:rFonts w:ascii="宋体" w:hAnsi="宋体" w:cs="宋体"/>
                <w:sz w:val="21"/>
                <w:szCs w:val="21"/>
              </w:rPr>
            </w:pPr>
            <w:r>
              <w:rPr>
                <w:rFonts w:hint="eastAsia" w:ascii="宋体" w:hAnsi="宋体" w:cs="宋体"/>
                <w:sz w:val="21"/>
                <w:szCs w:val="21"/>
              </w:rPr>
              <w:t>2袋</w:t>
            </w:r>
          </w:p>
        </w:tc>
        <w:tc>
          <w:tcPr>
            <w:tcW w:w="3216" w:type="dxa"/>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tcPr>
          <w:p w14:paraId="24CF640F">
            <w:pPr>
              <w:spacing w:line="300" w:lineRule="auto"/>
              <w:jc w:val="center"/>
              <w:rPr>
                <w:rFonts w:ascii="宋体" w:hAnsi="宋体" w:cs="宋体"/>
                <w:szCs w:val="21"/>
                <w:lang w:eastAsia="zh-Hans"/>
              </w:rPr>
            </w:pPr>
            <w:r>
              <w:rPr>
                <w:color w:val="000000"/>
                <w:sz w:val="21"/>
              </w:rPr>
              <w:t>Ch.P.202</w:t>
            </w:r>
            <w:r>
              <w:rPr>
                <w:rFonts w:hint="eastAsia"/>
                <w:color w:val="000000"/>
                <w:sz w:val="21"/>
              </w:rPr>
              <w:t>5</w:t>
            </w:r>
            <w:r>
              <w:rPr>
                <w:color w:val="000000"/>
                <w:sz w:val="21"/>
              </w:rPr>
              <w:t>一部</w:t>
            </w:r>
          </w:p>
        </w:tc>
      </w:tr>
      <w:tr w14:paraId="2C8BC9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8" w:type="dxa"/>
            <w:tcBorders>
              <w:top w:val="single" w:color="000000" w:sz="4" w:space="0"/>
              <w:left w:val="single" w:color="000000" w:sz="8" w:space="0"/>
              <w:bottom w:val="single" w:color="000000" w:sz="4" w:space="0"/>
              <w:right w:val="single" w:color="000000" w:sz="4" w:space="0"/>
            </w:tcBorders>
            <w:tcMar>
              <w:top w:w="0" w:type="dxa"/>
              <w:left w:w="105" w:type="dxa"/>
              <w:bottom w:w="0" w:type="dxa"/>
              <w:right w:w="105" w:type="dxa"/>
            </w:tcMar>
          </w:tcPr>
          <w:p w14:paraId="7771316E">
            <w:pPr>
              <w:spacing w:line="300" w:lineRule="auto"/>
              <w:jc w:val="center"/>
              <w:rPr>
                <w:rFonts w:ascii="宋体" w:hAnsi="宋体" w:cs="宋体"/>
                <w:szCs w:val="21"/>
                <w:lang w:eastAsia="zh-Hans"/>
              </w:rPr>
            </w:pPr>
            <w:r>
              <w:rPr>
                <w:rFonts w:hint="eastAsia" w:ascii="宋体" w:hAnsi="宋体" w:cs="宋体"/>
                <w:sz w:val="21"/>
                <w:szCs w:val="21"/>
                <w:lang w:eastAsia="zh-Hans"/>
              </w:rPr>
              <w:t>7</w:t>
            </w:r>
          </w:p>
        </w:tc>
        <w:tc>
          <w:tcPr>
            <w:tcW w:w="231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5C8C82EA">
            <w:pPr>
              <w:spacing w:line="300" w:lineRule="auto"/>
              <w:jc w:val="center"/>
              <w:rPr>
                <w:rFonts w:ascii="宋体" w:hAnsi="宋体" w:cs="宋体"/>
                <w:szCs w:val="21"/>
                <w:lang w:eastAsia="zh-Hans"/>
              </w:rPr>
            </w:pPr>
            <w:r>
              <w:rPr>
                <w:rFonts w:hint="eastAsia" w:ascii="宋体" w:hAnsi="宋体" w:cs="宋体"/>
                <w:sz w:val="21"/>
                <w:szCs w:val="21"/>
              </w:rPr>
              <w:t>葛根</w:t>
            </w:r>
          </w:p>
        </w:tc>
        <w:tc>
          <w:tcPr>
            <w:tcW w:w="12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6828460D">
            <w:pPr>
              <w:spacing w:line="300" w:lineRule="auto"/>
              <w:jc w:val="center"/>
              <w:rPr>
                <w:rFonts w:ascii="宋体" w:hAnsi="宋体" w:cs="宋体"/>
                <w:szCs w:val="21"/>
                <w:lang w:eastAsia="zh-Hans"/>
              </w:rPr>
            </w:pPr>
            <w:r>
              <w:rPr>
                <w:rFonts w:hint="eastAsia" w:ascii="宋体" w:hAnsi="宋体" w:cs="宋体"/>
                <w:sz w:val="21"/>
                <w:szCs w:val="21"/>
                <w:lang w:eastAsia="zh-Hans"/>
              </w:rPr>
              <w:t>10g</w:t>
            </w:r>
          </w:p>
        </w:tc>
        <w:tc>
          <w:tcPr>
            <w:tcW w:w="1667" w:type="dxa"/>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tcPr>
          <w:p w14:paraId="078A70D9">
            <w:pPr>
              <w:spacing w:line="300" w:lineRule="auto"/>
              <w:jc w:val="center"/>
              <w:rPr>
                <w:rFonts w:ascii="宋体" w:hAnsi="宋体" w:cs="宋体"/>
                <w:sz w:val="21"/>
                <w:szCs w:val="21"/>
              </w:rPr>
            </w:pPr>
            <w:r>
              <w:rPr>
                <w:rFonts w:hint="eastAsia" w:ascii="宋体" w:hAnsi="宋体" w:cs="宋体"/>
                <w:sz w:val="21"/>
                <w:szCs w:val="21"/>
              </w:rPr>
              <w:t>2袋</w:t>
            </w:r>
          </w:p>
        </w:tc>
        <w:tc>
          <w:tcPr>
            <w:tcW w:w="3216" w:type="dxa"/>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tcPr>
          <w:p w14:paraId="5CB9825A">
            <w:pPr>
              <w:spacing w:line="300" w:lineRule="auto"/>
              <w:jc w:val="center"/>
              <w:rPr>
                <w:rFonts w:ascii="宋体" w:hAnsi="宋体" w:cs="宋体"/>
                <w:szCs w:val="21"/>
                <w:lang w:eastAsia="zh-Hans"/>
              </w:rPr>
            </w:pPr>
            <w:r>
              <w:rPr>
                <w:color w:val="000000"/>
                <w:sz w:val="21"/>
              </w:rPr>
              <w:t>Ch.P.202</w:t>
            </w:r>
            <w:r>
              <w:rPr>
                <w:rFonts w:hint="eastAsia"/>
                <w:color w:val="000000"/>
                <w:sz w:val="21"/>
              </w:rPr>
              <w:t>5</w:t>
            </w:r>
            <w:r>
              <w:rPr>
                <w:color w:val="000000"/>
                <w:sz w:val="21"/>
              </w:rPr>
              <w:t>一部</w:t>
            </w:r>
          </w:p>
        </w:tc>
      </w:tr>
      <w:tr w14:paraId="2DD161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8" w:type="dxa"/>
            <w:tcBorders>
              <w:top w:val="single" w:color="000000" w:sz="4" w:space="0"/>
              <w:left w:val="single" w:color="000000" w:sz="8" w:space="0"/>
              <w:bottom w:val="single" w:color="000000" w:sz="4" w:space="0"/>
              <w:right w:val="single" w:color="000000" w:sz="4" w:space="0"/>
            </w:tcBorders>
            <w:tcMar>
              <w:top w:w="0" w:type="dxa"/>
              <w:left w:w="105" w:type="dxa"/>
              <w:bottom w:w="0" w:type="dxa"/>
              <w:right w:w="105" w:type="dxa"/>
            </w:tcMar>
          </w:tcPr>
          <w:p w14:paraId="242A14B2">
            <w:pPr>
              <w:spacing w:line="300" w:lineRule="auto"/>
              <w:jc w:val="center"/>
              <w:rPr>
                <w:rFonts w:ascii="宋体" w:hAnsi="宋体" w:cs="宋体"/>
                <w:szCs w:val="21"/>
                <w:lang w:eastAsia="zh-Hans"/>
              </w:rPr>
            </w:pPr>
            <w:r>
              <w:rPr>
                <w:rFonts w:hint="eastAsia" w:ascii="宋体" w:hAnsi="宋体" w:cs="宋体"/>
                <w:sz w:val="21"/>
                <w:szCs w:val="21"/>
                <w:lang w:eastAsia="zh-Hans"/>
              </w:rPr>
              <w:t>8</w:t>
            </w:r>
          </w:p>
        </w:tc>
        <w:tc>
          <w:tcPr>
            <w:tcW w:w="231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73AD9067">
            <w:pPr>
              <w:spacing w:line="300" w:lineRule="auto"/>
              <w:jc w:val="center"/>
              <w:rPr>
                <w:rFonts w:ascii="宋体" w:hAnsi="宋体" w:cs="宋体"/>
                <w:szCs w:val="21"/>
                <w:lang w:eastAsia="zh-Hans"/>
              </w:rPr>
            </w:pPr>
            <w:r>
              <w:rPr>
                <w:rFonts w:hint="eastAsia" w:ascii="宋体" w:hAnsi="宋体" w:cs="宋体"/>
                <w:sz w:val="21"/>
                <w:szCs w:val="21"/>
                <w:lang w:eastAsia="zh-Hans"/>
              </w:rPr>
              <w:t>苦杏仁</w:t>
            </w:r>
          </w:p>
        </w:tc>
        <w:tc>
          <w:tcPr>
            <w:tcW w:w="12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50AF2745">
            <w:pPr>
              <w:spacing w:line="300" w:lineRule="auto"/>
              <w:jc w:val="center"/>
              <w:rPr>
                <w:rFonts w:ascii="宋体" w:hAnsi="宋体" w:cs="宋体"/>
                <w:szCs w:val="21"/>
                <w:lang w:eastAsia="zh-Hans"/>
              </w:rPr>
            </w:pPr>
            <w:r>
              <w:rPr>
                <w:rFonts w:hint="eastAsia" w:ascii="宋体" w:hAnsi="宋体" w:cs="宋体"/>
                <w:sz w:val="21"/>
                <w:szCs w:val="21"/>
                <w:lang w:eastAsia="zh-Hans"/>
              </w:rPr>
              <w:t>10g</w:t>
            </w:r>
          </w:p>
        </w:tc>
        <w:tc>
          <w:tcPr>
            <w:tcW w:w="1667" w:type="dxa"/>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tcPr>
          <w:p w14:paraId="4D25B51A">
            <w:pPr>
              <w:spacing w:line="300" w:lineRule="auto"/>
              <w:jc w:val="center"/>
              <w:rPr>
                <w:rFonts w:ascii="宋体" w:hAnsi="宋体" w:cs="宋体"/>
                <w:sz w:val="21"/>
                <w:szCs w:val="21"/>
              </w:rPr>
            </w:pPr>
            <w:r>
              <w:rPr>
                <w:rFonts w:hint="eastAsia" w:ascii="宋体" w:hAnsi="宋体" w:cs="宋体"/>
                <w:sz w:val="21"/>
                <w:szCs w:val="21"/>
              </w:rPr>
              <w:t>2袋</w:t>
            </w:r>
          </w:p>
        </w:tc>
        <w:tc>
          <w:tcPr>
            <w:tcW w:w="3216" w:type="dxa"/>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tcPr>
          <w:p w14:paraId="6F7A1516">
            <w:pPr>
              <w:spacing w:line="300" w:lineRule="auto"/>
              <w:jc w:val="center"/>
              <w:rPr>
                <w:rFonts w:ascii="宋体" w:hAnsi="宋体" w:cs="宋体"/>
                <w:szCs w:val="21"/>
                <w:lang w:eastAsia="zh-Hans"/>
              </w:rPr>
            </w:pPr>
            <w:r>
              <w:rPr>
                <w:color w:val="000000"/>
                <w:sz w:val="21"/>
              </w:rPr>
              <w:t>Ch.P.202</w:t>
            </w:r>
            <w:r>
              <w:rPr>
                <w:rFonts w:hint="eastAsia"/>
                <w:color w:val="000000"/>
                <w:sz w:val="21"/>
              </w:rPr>
              <w:t>5</w:t>
            </w:r>
            <w:r>
              <w:rPr>
                <w:color w:val="000000"/>
                <w:sz w:val="21"/>
              </w:rPr>
              <w:t>一部</w:t>
            </w:r>
          </w:p>
        </w:tc>
      </w:tr>
      <w:tr w14:paraId="717C27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8" w:type="dxa"/>
            <w:tcBorders>
              <w:top w:val="single" w:color="000000" w:sz="4" w:space="0"/>
              <w:left w:val="single" w:color="000000" w:sz="8" w:space="0"/>
              <w:bottom w:val="single" w:color="000000" w:sz="4" w:space="0"/>
              <w:right w:val="single" w:color="000000" w:sz="4" w:space="0"/>
            </w:tcBorders>
            <w:tcMar>
              <w:top w:w="0" w:type="dxa"/>
              <w:left w:w="105" w:type="dxa"/>
              <w:bottom w:w="0" w:type="dxa"/>
              <w:right w:w="105" w:type="dxa"/>
            </w:tcMar>
          </w:tcPr>
          <w:p w14:paraId="5117EAC5">
            <w:pPr>
              <w:spacing w:line="300" w:lineRule="auto"/>
              <w:jc w:val="center"/>
              <w:rPr>
                <w:rFonts w:ascii="宋体" w:hAnsi="宋体" w:cs="宋体"/>
                <w:szCs w:val="21"/>
                <w:lang w:eastAsia="zh-Hans"/>
              </w:rPr>
            </w:pPr>
            <w:r>
              <w:rPr>
                <w:rFonts w:hint="eastAsia" w:ascii="宋体" w:hAnsi="宋体" w:cs="宋体"/>
                <w:sz w:val="21"/>
                <w:szCs w:val="21"/>
                <w:lang w:eastAsia="zh-Hans"/>
              </w:rPr>
              <w:t>9</w:t>
            </w:r>
          </w:p>
        </w:tc>
        <w:tc>
          <w:tcPr>
            <w:tcW w:w="231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37383475">
            <w:pPr>
              <w:spacing w:line="300" w:lineRule="auto"/>
              <w:jc w:val="center"/>
              <w:rPr>
                <w:rFonts w:ascii="宋体" w:hAnsi="宋体" w:cs="宋体"/>
                <w:szCs w:val="21"/>
                <w:lang w:eastAsia="zh-Hans"/>
              </w:rPr>
            </w:pPr>
            <w:r>
              <w:rPr>
                <w:rFonts w:hint="eastAsia" w:ascii="宋体" w:hAnsi="宋体" w:cs="宋体"/>
                <w:sz w:val="21"/>
                <w:szCs w:val="21"/>
              </w:rPr>
              <w:t>熟地黄</w:t>
            </w:r>
          </w:p>
        </w:tc>
        <w:tc>
          <w:tcPr>
            <w:tcW w:w="12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534768C9">
            <w:pPr>
              <w:spacing w:line="300" w:lineRule="auto"/>
              <w:jc w:val="center"/>
              <w:rPr>
                <w:rFonts w:ascii="宋体" w:hAnsi="宋体" w:cs="宋体"/>
                <w:szCs w:val="21"/>
                <w:lang w:eastAsia="zh-Hans"/>
              </w:rPr>
            </w:pPr>
            <w:r>
              <w:rPr>
                <w:rFonts w:hint="eastAsia" w:ascii="宋体" w:hAnsi="宋体" w:cs="宋体"/>
                <w:sz w:val="21"/>
                <w:szCs w:val="21"/>
                <w:lang w:eastAsia="zh-Hans"/>
              </w:rPr>
              <w:t>10g</w:t>
            </w:r>
          </w:p>
        </w:tc>
        <w:tc>
          <w:tcPr>
            <w:tcW w:w="1667" w:type="dxa"/>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tcPr>
          <w:p w14:paraId="2E563A98">
            <w:pPr>
              <w:spacing w:line="300" w:lineRule="auto"/>
              <w:jc w:val="center"/>
              <w:rPr>
                <w:rFonts w:ascii="宋体" w:hAnsi="宋体" w:cs="宋体"/>
                <w:sz w:val="21"/>
                <w:szCs w:val="21"/>
              </w:rPr>
            </w:pPr>
            <w:r>
              <w:rPr>
                <w:rFonts w:hint="eastAsia" w:ascii="宋体" w:hAnsi="宋体" w:cs="宋体"/>
                <w:sz w:val="21"/>
                <w:szCs w:val="21"/>
              </w:rPr>
              <w:t>2袋</w:t>
            </w:r>
          </w:p>
        </w:tc>
        <w:tc>
          <w:tcPr>
            <w:tcW w:w="3216" w:type="dxa"/>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tcPr>
          <w:p w14:paraId="138708FB">
            <w:pPr>
              <w:spacing w:line="300" w:lineRule="auto"/>
              <w:jc w:val="center"/>
              <w:rPr>
                <w:rFonts w:ascii="宋体" w:hAnsi="宋体" w:cs="宋体"/>
                <w:szCs w:val="21"/>
                <w:lang w:eastAsia="zh-Hans"/>
              </w:rPr>
            </w:pPr>
            <w:r>
              <w:rPr>
                <w:color w:val="000000"/>
                <w:sz w:val="21"/>
              </w:rPr>
              <w:t>Ch.P.202</w:t>
            </w:r>
            <w:r>
              <w:rPr>
                <w:rFonts w:hint="eastAsia"/>
                <w:color w:val="000000"/>
                <w:sz w:val="21"/>
              </w:rPr>
              <w:t>5</w:t>
            </w:r>
            <w:r>
              <w:rPr>
                <w:color w:val="000000"/>
                <w:sz w:val="21"/>
              </w:rPr>
              <w:t>一部</w:t>
            </w:r>
          </w:p>
        </w:tc>
      </w:tr>
      <w:tr w14:paraId="50A131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8" w:type="dxa"/>
            <w:tcBorders>
              <w:top w:val="single" w:color="000000" w:sz="4" w:space="0"/>
              <w:left w:val="single" w:color="000000" w:sz="8" w:space="0"/>
              <w:bottom w:val="single" w:color="000000" w:sz="4" w:space="0"/>
              <w:right w:val="single" w:color="000000" w:sz="4" w:space="0"/>
            </w:tcBorders>
            <w:tcMar>
              <w:top w:w="0" w:type="dxa"/>
              <w:left w:w="105" w:type="dxa"/>
              <w:bottom w:w="0" w:type="dxa"/>
              <w:right w:w="105" w:type="dxa"/>
            </w:tcMar>
          </w:tcPr>
          <w:p w14:paraId="7FF2A33D">
            <w:pPr>
              <w:spacing w:line="300" w:lineRule="auto"/>
              <w:jc w:val="center"/>
              <w:rPr>
                <w:rFonts w:ascii="宋体" w:hAnsi="宋体" w:cs="宋体"/>
                <w:szCs w:val="21"/>
                <w:lang w:eastAsia="zh-Hans"/>
              </w:rPr>
            </w:pPr>
            <w:r>
              <w:rPr>
                <w:rFonts w:hint="eastAsia" w:ascii="宋体" w:hAnsi="宋体" w:cs="宋体"/>
                <w:sz w:val="21"/>
                <w:szCs w:val="21"/>
                <w:lang w:eastAsia="zh-Hans"/>
              </w:rPr>
              <w:t>10</w:t>
            </w:r>
          </w:p>
        </w:tc>
        <w:tc>
          <w:tcPr>
            <w:tcW w:w="231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72E89546">
            <w:pPr>
              <w:spacing w:line="300" w:lineRule="auto"/>
              <w:jc w:val="center"/>
              <w:rPr>
                <w:rFonts w:hint="eastAsia" w:ascii="宋体" w:hAnsi="宋体" w:eastAsia="宋体" w:cs="宋体"/>
                <w:szCs w:val="21"/>
                <w:lang w:eastAsia="zh-CN"/>
              </w:rPr>
            </w:pPr>
            <w:r>
              <w:rPr>
                <w:rFonts w:hint="eastAsia" w:ascii="宋体" w:hAnsi="宋体" w:cs="宋体"/>
                <w:sz w:val="21"/>
                <w:szCs w:val="21"/>
                <w:lang w:eastAsia="zh-CN"/>
              </w:rPr>
              <w:t>麸炒枳壳</w:t>
            </w:r>
          </w:p>
        </w:tc>
        <w:tc>
          <w:tcPr>
            <w:tcW w:w="12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58754D76">
            <w:pPr>
              <w:spacing w:line="300" w:lineRule="auto"/>
              <w:jc w:val="center"/>
              <w:rPr>
                <w:rFonts w:ascii="宋体" w:hAnsi="宋体" w:cs="宋体"/>
                <w:szCs w:val="21"/>
                <w:lang w:eastAsia="zh-Hans"/>
              </w:rPr>
            </w:pPr>
            <w:r>
              <w:rPr>
                <w:rFonts w:hint="eastAsia" w:ascii="宋体" w:hAnsi="宋体" w:cs="宋体"/>
                <w:sz w:val="21"/>
                <w:szCs w:val="21"/>
                <w:lang w:eastAsia="zh-Hans"/>
              </w:rPr>
              <w:t>10g</w:t>
            </w:r>
          </w:p>
        </w:tc>
        <w:tc>
          <w:tcPr>
            <w:tcW w:w="1667" w:type="dxa"/>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tcPr>
          <w:p w14:paraId="741A3A49">
            <w:pPr>
              <w:spacing w:line="300" w:lineRule="auto"/>
              <w:jc w:val="center"/>
              <w:rPr>
                <w:rFonts w:ascii="宋体" w:hAnsi="宋体" w:cs="宋体"/>
                <w:sz w:val="21"/>
                <w:szCs w:val="21"/>
              </w:rPr>
            </w:pPr>
            <w:r>
              <w:rPr>
                <w:rFonts w:hint="eastAsia" w:ascii="宋体" w:hAnsi="宋体" w:cs="宋体"/>
                <w:sz w:val="21"/>
                <w:szCs w:val="21"/>
              </w:rPr>
              <w:t>2袋</w:t>
            </w:r>
          </w:p>
        </w:tc>
        <w:tc>
          <w:tcPr>
            <w:tcW w:w="3216" w:type="dxa"/>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tcPr>
          <w:p w14:paraId="7D2547A3">
            <w:pPr>
              <w:spacing w:line="300" w:lineRule="auto"/>
              <w:jc w:val="center"/>
              <w:rPr>
                <w:rFonts w:ascii="宋体" w:hAnsi="宋体" w:cs="宋体"/>
                <w:szCs w:val="21"/>
                <w:lang w:eastAsia="zh-Hans"/>
              </w:rPr>
            </w:pPr>
            <w:r>
              <w:rPr>
                <w:color w:val="000000"/>
                <w:sz w:val="21"/>
              </w:rPr>
              <w:t>Ch.P.202</w:t>
            </w:r>
            <w:r>
              <w:rPr>
                <w:rFonts w:hint="eastAsia"/>
                <w:color w:val="000000"/>
                <w:sz w:val="21"/>
              </w:rPr>
              <w:t>5</w:t>
            </w:r>
            <w:r>
              <w:rPr>
                <w:color w:val="000000"/>
                <w:sz w:val="21"/>
              </w:rPr>
              <w:t>一部</w:t>
            </w:r>
          </w:p>
        </w:tc>
      </w:tr>
      <w:tr w14:paraId="1C45BA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8" w:type="dxa"/>
            <w:tcBorders>
              <w:top w:val="single" w:color="000000" w:sz="4" w:space="0"/>
              <w:left w:val="single" w:color="000000" w:sz="8" w:space="0"/>
              <w:bottom w:val="single" w:color="000000" w:sz="4" w:space="0"/>
              <w:right w:val="single" w:color="000000" w:sz="4" w:space="0"/>
            </w:tcBorders>
            <w:tcMar>
              <w:top w:w="0" w:type="dxa"/>
              <w:left w:w="105" w:type="dxa"/>
              <w:bottom w:w="0" w:type="dxa"/>
              <w:right w:w="105" w:type="dxa"/>
            </w:tcMar>
          </w:tcPr>
          <w:p w14:paraId="036995F9">
            <w:pPr>
              <w:spacing w:line="300" w:lineRule="auto"/>
              <w:jc w:val="center"/>
              <w:rPr>
                <w:rFonts w:ascii="宋体" w:hAnsi="宋体" w:cs="宋体"/>
                <w:szCs w:val="21"/>
                <w:lang w:eastAsia="zh-Hans"/>
              </w:rPr>
            </w:pPr>
            <w:r>
              <w:rPr>
                <w:rFonts w:hint="eastAsia" w:ascii="宋体" w:hAnsi="宋体" w:cs="宋体"/>
                <w:sz w:val="21"/>
                <w:szCs w:val="21"/>
                <w:lang w:eastAsia="zh-Hans"/>
              </w:rPr>
              <w:t>11</w:t>
            </w:r>
          </w:p>
        </w:tc>
        <w:tc>
          <w:tcPr>
            <w:tcW w:w="231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4234EFE2">
            <w:pPr>
              <w:spacing w:line="300" w:lineRule="auto"/>
              <w:jc w:val="center"/>
              <w:rPr>
                <w:rFonts w:hint="eastAsia" w:ascii="宋体" w:hAnsi="宋体" w:eastAsia="宋体" w:cs="宋体"/>
                <w:szCs w:val="21"/>
                <w:lang w:eastAsia="zh-CN"/>
              </w:rPr>
            </w:pPr>
            <w:r>
              <w:rPr>
                <w:rFonts w:hint="eastAsia" w:ascii="宋体" w:hAnsi="宋体" w:cs="宋体"/>
                <w:sz w:val="21"/>
                <w:szCs w:val="21"/>
                <w:lang w:eastAsia="zh-CN"/>
              </w:rPr>
              <w:t>姜厚朴</w:t>
            </w:r>
          </w:p>
        </w:tc>
        <w:tc>
          <w:tcPr>
            <w:tcW w:w="12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0D9FA053">
            <w:pPr>
              <w:spacing w:line="300" w:lineRule="auto"/>
              <w:jc w:val="center"/>
              <w:rPr>
                <w:rFonts w:ascii="宋体" w:hAnsi="宋体" w:cs="宋体"/>
                <w:szCs w:val="21"/>
                <w:lang w:eastAsia="zh-Hans"/>
              </w:rPr>
            </w:pPr>
            <w:r>
              <w:rPr>
                <w:rFonts w:hint="eastAsia" w:ascii="宋体" w:hAnsi="宋体" w:cs="宋体"/>
                <w:sz w:val="21"/>
                <w:szCs w:val="21"/>
                <w:lang w:eastAsia="zh-Hans"/>
              </w:rPr>
              <w:t>10g</w:t>
            </w:r>
          </w:p>
        </w:tc>
        <w:tc>
          <w:tcPr>
            <w:tcW w:w="1667" w:type="dxa"/>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tcPr>
          <w:p w14:paraId="0C5BA79C">
            <w:pPr>
              <w:spacing w:line="300" w:lineRule="auto"/>
              <w:jc w:val="center"/>
              <w:rPr>
                <w:rFonts w:ascii="宋体" w:hAnsi="宋体" w:cs="宋体"/>
                <w:sz w:val="21"/>
                <w:szCs w:val="21"/>
              </w:rPr>
            </w:pPr>
            <w:r>
              <w:rPr>
                <w:rFonts w:hint="eastAsia" w:ascii="宋体" w:hAnsi="宋体" w:cs="宋体"/>
                <w:sz w:val="21"/>
                <w:szCs w:val="21"/>
              </w:rPr>
              <w:t>2袋</w:t>
            </w:r>
          </w:p>
        </w:tc>
        <w:tc>
          <w:tcPr>
            <w:tcW w:w="3216" w:type="dxa"/>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tcPr>
          <w:p w14:paraId="78F522AD">
            <w:pPr>
              <w:spacing w:line="300" w:lineRule="auto"/>
              <w:jc w:val="center"/>
              <w:rPr>
                <w:rFonts w:ascii="宋体" w:hAnsi="宋体" w:cs="宋体"/>
                <w:szCs w:val="21"/>
                <w:lang w:eastAsia="zh-Hans"/>
              </w:rPr>
            </w:pPr>
            <w:r>
              <w:rPr>
                <w:color w:val="000000"/>
                <w:sz w:val="21"/>
              </w:rPr>
              <w:t>Ch.P.202</w:t>
            </w:r>
            <w:r>
              <w:rPr>
                <w:rFonts w:hint="eastAsia"/>
                <w:color w:val="000000"/>
                <w:sz w:val="21"/>
              </w:rPr>
              <w:t>5</w:t>
            </w:r>
            <w:r>
              <w:rPr>
                <w:color w:val="000000"/>
                <w:sz w:val="21"/>
              </w:rPr>
              <w:t>一部</w:t>
            </w:r>
          </w:p>
        </w:tc>
      </w:tr>
      <w:tr w14:paraId="083A4C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8" w:type="dxa"/>
            <w:tcBorders>
              <w:top w:val="single" w:color="000000" w:sz="4" w:space="0"/>
              <w:left w:val="single" w:color="000000" w:sz="8" w:space="0"/>
              <w:bottom w:val="single" w:color="000000" w:sz="4" w:space="0"/>
              <w:right w:val="single" w:color="000000" w:sz="4" w:space="0"/>
            </w:tcBorders>
            <w:tcMar>
              <w:top w:w="0" w:type="dxa"/>
              <w:left w:w="105" w:type="dxa"/>
              <w:bottom w:w="0" w:type="dxa"/>
              <w:right w:w="105" w:type="dxa"/>
            </w:tcMar>
          </w:tcPr>
          <w:p w14:paraId="32D65F91">
            <w:pPr>
              <w:spacing w:line="300" w:lineRule="auto"/>
              <w:jc w:val="center"/>
              <w:rPr>
                <w:rFonts w:ascii="宋体" w:hAnsi="宋体" w:cs="宋体"/>
                <w:szCs w:val="21"/>
                <w:lang w:eastAsia="zh-Hans"/>
              </w:rPr>
            </w:pPr>
            <w:r>
              <w:rPr>
                <w:rFonts w:hint="eastAsia" w:ascii="宋体" w:hAnsi="宋体" w:cs="宋体"/>
                <w:sz w:val="21"/>
                <w:szCs w:val="21"/>
                <w:lang w:eastAsia="zh-Hans"/>
              </w:rPr>
              <w:t>12</w:t>
            </w:r>
          </w:p>
        </w:tc>
        <w:tc>
          <w:tcPr>
            <w:tcW w:w="231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14A2D9C9">
            <w:pPr>
              <w:spacing w:line="300" w:lineRule="auto"/>
              <w:jc w:val="center"/>
              <w:rPr>
                <w:rFonts w:hint="eastAsia" w:ascii="宋体" w:hAnsi="宋体" w:eastAsia="宋体" w:cs="宋体"/>
                <w:szCs w:val="21"/>
                <w:lang w:eastAsia="zh-CN"/>
              </w:rPr>
            </w:pPr>
            <w:r>
              <w:rPr>
                <w:rFonts w:hint="eastAsia" w:ascii="宋体" w:hAnsi="宋体" w:cs="宋体"/>
                <w:sz w:val="21"/>
                <w:szCs w:val="21"/>
                <w:lang w:eastAsia="zh-CN"/>
              </w:rPr>
              <w:t>枸杞子</w:t>
            </w:r>
          </w:p>
        </w:tc>
        <w:tc>
          <w:tcPr>
            <w:tcW w:w="12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6939C552">
            <w:pPr>
              <w:spacing w:line="300" w:lineRule="auto"/>
              <w:jc w:val="center"/>
              <w:rPr>
                <w:rFonts w:ascii="宋体" w:hAnsi="宋体" w:cs="宋体"/>
                <w:szCs w:val="21"/>
                <w:lang w:eastAsia="zh-Hans"/>
              </w:rPr>
            </w:pPr>
            <w:r>
              <w:rPr>
                <w:rFonts w:hint="eastAsia" w:ascii="宋体" w:hAnsi="宋体" w:cs="宋体"/>
                <w:sz w:val="21"/>
                <w:szCs w:val="21"/>
                <w:lang w:eastAsia="zh-Hans"/>
              </w:rPr>
              <w:t>10g</w:t>
            </w:r>
          </w:p>
        </w:tc>
        <w:tc>
          <w:tcPr>
            <w:tcW w:w="1667" w:type="dxa"/>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tcPr>
          <w:p w14:paraId="302F5B76">
            <w:pPr>
              <w:spacing w:line="300" w:lineRule="auto"/>
              <w:jc w:val="center"/>
              <w:rPr>
                <w:rFonts w:ascii="宋体" w:hAnsi="宋体" w:cs="宋体"/>
                <w:sz w:val="21"/>
                <w:szCs w:val="21"/>
              </w:rPr>
            </w:pPr>
            <w:r>
              <w:rPr>
                <w:rFonts w:hint="eastAsia" w:ascii="宋体" w:hAnsi="宋体" w:cs="宋体"/>
                <w:sz w:val="21"/>
                <w:szCs w:val="21"/>
              </w:rPr>
              <w:t>2袋</w:t>
            </w:r>
          </w:p>
        </w:tc>
        <w:tc>
          <w:tcPr>
            <w:tcW w:w="3216" w:type="dxa"/>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tcPr>
          <w:p w14:paraId="29039A1E">
            <w:pPr>
              <w:spacing w:line="300" w:lineRule="auto"/>
              <w:jc w:val="center"/>
              <w:rPr>
                <w:rFonts w:ascii="宋体" w:hAnsi="宋体" w:cs="宋体"/>
                <w:szCs w:val="21"/>
                <w:lang w:eastAsia="zh-Hans"/>
              </w:rPr>
            </w:pPr>
            <w:r>
              <w:rPr>
                <w:color w:val="000000"/>
                <w:sz w:val="21"/>
              </w:rPr>
              <w:t>Ch.P.202</w:t>
            </w:r>
            <w:r>
              <w:rPr>
                <w:rFonts w:hint="eastAsia"/>
                <w:color w:val="000000"/>
                <w:sz w:val="21"/>
              </w:rPr>
              <w:t>5</w:t>
            </w:r>
            <w:r>
              <w:rPr>
                <w:color w:val="000000"/>
                <w:sz w:val="21"/>
              </w:rPr>
              <w:t>一部</w:t>
            </w:r>
          </w:p>
        </w:tc>
      </w:tr>
      <w:tr w14:paraId="4C1498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8" w:type="dxa"/>
            <w:tcBorders>
              <w:top w:val="single" w:color="000000" w:sz="4" w:space="0"/>
              <w:left w:val="single" w:color="000000" w:sz="8" w:space="0"/>
              <w:bottom w:val="single" w:color="000000" w:sz="4" w:space="0"/>
              <w:right w:val="single" w:color="000000" w:sz="4" w:space="0"/>
            </w:tcBorders>
            <w:tcMar>
              <w:top w:w="0" w:type="dxa"/>
              <w:left w:w="105" w:type="dxa"/>
              <w:bottom w:w="0" w:type="dxa"/>
              <w:right w:w="105" w:type="dxa"/>
            </w:tcMar>
          </w:tcPr>
          <w:p w14:paraId="620C2023">
            <w:pPr>
              <w:spacing w:line="300" w:lineRule="auto"/>
              <w:jc w:val="center"/>
              <w:rPr>
                <w:rFonts w:ascii="宋体" w:hAnsi="宋体" w:cs="宋体"/>
                <w:szCs w:val="21"/>
                <w:lang w:eastAsia="zh-Hans"/>
              </w:rPr>
            </w:pPr>
            <w:r>
              <w:rPr>
                <w:rFonts w:hint="eastAsia" w:ascii="宋体" w:hAnsi="宋体" w:cs="宋体"/>
                <w:sz w:val="21"/>
                <w:szCs w:val="21"/>
                <w:lang w:eastAsia="zh-Hans"/>
              </w:rPr>
              <w:t>13</w:t>
            </w:r>
          </w:p>
        </w:tc>
        <w:tc>
          <w:tcPr>
            <w:tcW w:w="231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21816E3E">
            <w:pPr>
              <w:spacing w:line="300" w:lineRule="auto"/>
              <w:jc w:val="center"/>
              <w:rPr>
                <w:rFonts w:hint="eastAsia" w:ascii="宋体" w:hAnsi="宋体" w:eastAsia="宋体" w:cs="宋体"/>
                <w:szCs w:val="21"/>
                <w:highlight w:val="none"/>
                <w:lang w:eastAsia="zh-CN"/>
              </w:rPr>
            </w:pPr>
            <w:r>
              <w:rPr>
                <w:rFonts w:hint="eastAsia" w:ascii="宋体" w:hAnsi="宋体" w:cs="宋体"/>
                <w:sz w:val="21"/>
                <w:szCs w:val="21"/>
                <w:highlight w:val="none"/>
                <w:lang w:eastAsia="zh-CN"/>
              </w:rPr>
              <w:t>续断片</w:t>
            </w:r>
          </w:p>
        </w:tc>
        <w:tc>
          <w:tcPr>
            <w:tcW w:w="12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406ECF77">
            <w:pPr>
              <w:spacing w:line="300" w:lineRule="auto"/>
              <w:jc w:val="center"/>
              <w:rPr>
                <w:rFonts w:ascii="宋体" w:hAnsi="宋体" w:cs="宋体"/>
                <w:szCs w:val="21"/>
                <w:highlight w:val="none"/>
                <w:lang w:eastAsia="zh-Hans"/>
              </w:rPr>
            </w:pPr>
            <w:r>
              <w:rPr>
                <w:rFonts w:hint="eastAsia" w:ascii="宋体" w:hAnsi="宋体" w:cs="宋体"/>
                <w:sz w:val="21"/>
                <w:szCs w:val="21"/>
                <w:highlight w:val="none"/>
                <w:lang w:eastAsia="zh-Hans"/>
              </w:rPr>
              <w:t>10g</w:t>
            </w:r>
          </w:p>
        </w:tc>
        <w:tc>
          <w:tcPr>
            <w:tcW w:w="1667" w:type="dxa"/>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tcPr>
          <w:p w14:paraId="7DE070E4">
            <w:pPr>
              <w:spacing w:line="300" w:lineRule="auto"/>
              <w:jc w:val="center"/>
              <w:rPr>
                <w:rFonts w:ascii="宋体" w:hAnsi="宋体" w:cs="宋体"/>
                <w:sz w:val="21"/>
                <w:szCs w:val="21"/>
                <w:highlight w:val="none"/>
              </w:rPr>
            </w:pPr>
            <w:r>
              <w:rPr>
                <w:rFonts w:hint="eastAsia" w:ascii="宋体" w:hAnsi="宋体" w:cs="宋体"/>
                <w:sz w:val="21"/>
                <w:szCs w:val="21"/>
                <w:highlight w:val="none"/>
              </w:rPr>
              <w:t>2袋</w:t>
            </w:r>
          </w:p>
        </w:tc>
        <w:tc>
          <w:tcPr>
            <w:tcW w:w="3216" w:type="dxa"/>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tcPr>
          <w:p w14:paraId="7938D1B2">
            <w:pPr>
              <w:spacing w:line="300" w:lineRule="auto"/>
              <w:jc w:val="center"/>
              <w:rPr>
                <w:rFonts w:ascii="宋体" w:hAnsi="宋体" w:cs="宋体"/>
                <w:szCs w:val="21"/>
                <w:highlight w:val="none"/>
                <w:lang w:eastAsia="zh-Hans"/>
              </w:rPr>
            </w:pPr>
            <w:r>
              <w:rPr>
                <w:color w:val="000000"/>
                <w:sz w:val="21"/>
                <w:highlight w:val="none"/>
              </w:rPr>
              <w:t>Ch.P.202</w:t>
            </w:r>
            <w:r>
              <w:rPr>
                <w:rFonts w:hint="eastAsia"/>
                <w:color w:val="000000"/>
                <w:sz w:val="21"/>
                <w:highlight w:val="none"/>
              </w:rPr>
              <w:t>5</w:t>
            </w:r>
            <w:r>
              <w:rPr>
                <w:color w:val="000000"/>
                <w:sz w:val="21"/>
                <w:highlight w:val="none"/>
              </w:rPr>
              <w:t>一部</w:t>
            </w:r>
          </w:p>
        </w:tc>
      </w:tr>
      <w:tr w14:paraId="52CC8B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8" w:type="dxa"/>
            <w:tcBorders>
              <w:top w:val="single" w:color="000000" w:sz="4" w:space="0"/>
              <w:left w:val="single" w:color="000000" w:sz="8" w:space="0"/>
              <w:bottom w:val="single" w:color="000000" w:sz="4" w:space="0"/>
              <w:right w:val="single" w:color="000000" w:sz="4" w:space="0"/>
            </w:tcBorders>
            <w:tcMar>
              <w:top w:w="0" w:type="dxa"/>
              <w:left w:w="105" w:type="dxa"/>
              <w:bottom w:w="0" w:type="dxa"/>
              <w:right w:w="105" w:type="dxa"/>
            </w:tcMar>
          </w:tcPr>
          <w:p w14:paraId="6905F3C9">
            <w:pPr>
              <w:spacing w:line="300" w:lineRule="auto"/>
              <w:jc w:val="center"/>
              <w:rPr>
                <w:rFonts w:ascii="宋体" w:hAnsi="宋体" w:cs="宋体"/>
                <w:szCs w:val="21"/>
                <w:lang w:eastAsia="zh-Hans"/>
              </w:rPr>
            </w:pPr>
            <w:r>
              <w:rPr>
                <w:rFonts w:hint="eastAsia" w:ascii="宋体" w:hAnsi="宋体" w:cs="宋体"/>
                <w:sz w:val="21"/>
                <w:szCs w:val="21"/>
                <w:lang w:eastAsia="zh-Hans"/>
              </w:rPr>
              <w:t>14</w:t>
            </w:r>
          </w:p>
        </w:tc>
        <w:tc>
          <w:tcPr>
            <w:tcW w:w="231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0AEEF883">
            <w:pPr>
              <w:spacing w:line="300" w:lineRule="auto"/>
              <w:jc w:val="center"/>
              <w:rPr>
                <w:rFonts w:hint="eastAsia" w:ascii="宋体" w:hAnsi="宋体" w:eastAsia="宋体" w:cs="宋体"/>
                <w:szCs w:val="21"/>
                <w:lang w:eastAsia="zh-CN"/>
              </w:rPr>
            </w:pPr>
            <w:r>
              <w:rPr>
                <w:rFonts w:hint="eastAsia" w:ascii="宋体" w:hAnsi="宋体" w:cs="宋体"/>
                <w:sz w:val="21"/>
                <w:szCs w:val="21"/>
                <w:lang w:eastAsia="zh-CN"/>
              </w:rPr>
              <w:t>莲子</w:t>
            </w:r>
          </w:p>
        </w:tc>
        <w:tc>
          <w:tcPr>
            <w:tcW w:w="12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068B366E">
            <w:pPr>
              <w:spacing w:line="300" w:lineRule="auto"/>
              <w:jc w:val="center"/>
              <w:rPr>
                <w:rFonts w:ascii="宋体" w:hAnsi="宋体" w:cs="宋体"/>
                <w:szCs w:val="21"/>
                <w:lang w:eastAsia="zh-Hans"/>
              </w:rPr>
            </w:pPr>
            <w:r>
              <w:rPr>
                <w:rFonts w:hint="eastAsia" w:ascii="宋体" w:hAnsi="宋体" w:cs="宋体"/>
                <w:sz w:val="21"/>
                <w:szCs w:val="21"/>
                <w:lang w:eastAsia="zh-Hans"/>
              </w:rPr>
              <w:t>10g</w:t>
            </w:r>
          </w:p>
        </w:tc>
        <w:tc>
          <w:tcPr>
            <w:tcW w:w="1667" w:type="dxa"/>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tcPr>
          <w:p w14:paraId="206A9244">
            <w:pPr>
              <w:spacing w:line="300" w:lineRule="auto"/>
              <w:jc w:val="center"/>
              <w:rPr>
                <w:rFonts w:ascii="宋体" w:hAnsi="宋体" w:cs="宋体"/>
                <w:sz w:val="21"/>
                <w:szCs w:val="21"/>
              </w:rPr>
            </w:pPr>
            <w:r>
              <w:rPr>
                <w:rFonts w:hint="eastAsia" w:ascii="宋体" w:hAnsi="宋体" w:cs="宋体"/>
                <w:sz w:val="21"/>
                <w:szCs w:val="21"/>
              </w:rPr>
              <w:t>2袋</w:t>
            </w:r>
          </w:p>
        </w:tc>
        <w:tc>
          <w:tcPr>
            <w:tcW w:w="3216" w:type="dxa"/>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tcPr>
          <w:p w14:paraId="3BC96491">
            <w:pPr>
              <w:spacing w:line="300" w:lineRule="auto"/>
              <w:jc w:val="center"/>
              <w:rPr>
                <w:rFonts w:ascii="宋体" w:hAnsi="宋体" w:cs="宋体"/>
                <w:szCs w:val="21"/>
                <w:lang w:eastAsia="zh-Hans"/>
              </w:rPr>
            </w:pPr>
            <w:r>
              <w:rPr>
                <w:color w:val="000000"/>
                <w:sz w:val="21"/>
              </w:rPr>
              <w:t>Ch.P.202</w:t>
            </w:r>
            <w:r>
              <w:rPr>
                <w:rFonts w:hint="eastAsia"/>
                <w:color w:val="000000"/>
                <w:sz w:val="21"/>
              </w:rPr>
              <w:t>5</w:t>
            </w:r>
            <w:r>
              <w:rPr>
                <w:color w:val="000000"/>
                <w:sz w:val="21"/>
              </w:rPr>
              <w:t>一部</w:t>
            </w:r>
          </w:p>
        </w:tc>
      </w:tr>
      <w:tr w14:paraId="22C053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8" w:type="dxa"/>
            <w:tcBorders>
              <w:top w:val="single" w:color="000000" w:sz="4" w:space="0"/>
              <w:left w:val="single" w:color="000000" w:sz="8" w:space="0"/>
              <w:bottom w:val="single" w:color="000000" w:sz="8" w:space="0"/>
              <w:right w:val="single" w:color="000000" w:sz="4" w:space="0"/>
            </w:tcBorders>
            <w:tcMar>
              <w:top w:w="0" w:type="dxa"/>
              <w:left w:w="105" w:type="dxa"/>
              <w:bottom w:w="0" w:type="dxa"/>
              <w:right w:w="105" w:type="dxa"/>
            </w:tcMar>
          </w:tcPr>
          <w:p w14:paraId="25D6B124">
            <w:pPr>
              <w:spacing w:line="300" w:lineRule="auto"/>
              <w:jc w:val="center"/>
              <w:rPr>
                <w:rFonts w:ascii="宋体" w:hAnsi="宋体" w:cs="宋体"/>
                <w:szCs w:val="21"/>
                <w:lang w:eastAsia="zh-Hans"/>
              </w:rPr>
            </w:pPr>
            <w:r>
              <w:rPr>
                <w:rFonts w:hint="eastAsia" w:ascii="宋体" w:hAnsi="宋体" w:cs="宋体"/>
                <w:sz w:val="21"/>
                <w:szCs w:val="21"/>
                <w:lang w:eastAsia="zh-Hans"/>
              </w:rPr>
              <w:t>15</w:t>
            </w:r>
          </w:p>
        </w:tc>
        <w:tc>
          <w:tcPr>
            <w:tcW w:w="2316" w:type="dxa"/>
            <w:tcBorders>
              <w:top w:val="single" w:color="000000" w:sz="4" w:space="0"/>
              <w:left w:val="single" w:color="000000" w:sz="4" w:space="0"/>
              <w:bottom w:val="single" w:color="000000" w:sz="8" w:space="0"/>
              <w:right w:val="single" w:color="000000" w:sz="4" w:space="0"/>
            </w:tcBorders>
            <w:tcMar>
              <w:top w:w="0" w:type="dxa"/>
              <w:left w:w="105" w:type="dxa"/>
              <w:bottom w:w="0" w:type="dxa"/>
              <w:right w:w="105" w:type="dxa"/>
            </w:tcMar>
          </w:tcPr>
          <w:p w14:paraId="14B6C7A4">
            <w:pPr>
              <w:spacing w:line="300" w:lineRule="auto"/>
              <w:jc w:val="center"/>
              <w:rPr>
                <w:rFonts w:hint="eastAsia" w:ascii="宋体" w:hAnsi="宋体" w:eastAsia="宋体" w:cs="宋体"/>
                <w:szCs w:val="21"/>
                <w:lang w:eastAsia="zh-CN"/>
              </w:rPr>
            </w:pPr>
            <w:r>
              <w:rPr>
                <w:rFonts w:hint="eastAsia" w:ascii="宋体" w:hAnsi="宋体" w:cs="宋体"/>
                <w:sz w:val="21"/>
                <w:szCs w:val="21"/>
                <w:lang w:eastAsia="zh-CN"/>
              </w:rPr>
              <w:t>鱼腥草</w:t>
            </w:r>
          </w:p>
        </w:tc>
        <w:tc>
          <w:tcPr>
            <w:tcW w:w="1250" w:type="dxa"/>
            <w:tcBorders>
              <w:top w:val="single" w:color="000000" w:sz="4" w:space="0"/>
              <w:left w:val="single" w:color="000000" w:sz="4" w:space="0"/>
              <w:bottom w:val="single" w:color="000000" w:sz="8" w:space="0"/>
              <w:right w:val="single" w:color="000000" w:sz="4" w:space="0"/>
            </w:tcBorders>
            <w:tcMar>
              <w:top w:w="0" w:type="dxa"/>
              <w:left w:w="105" w:type="dxa"/>
              <w:bottom w:w="0" w:type="dxa"/>
              <w:right w:w="105" w:type="dxa"/>
            </w:tcMar>
          </w:tcPr>
          <w:p w14:paraId="4A1E36AC">
            <w:pPr>
              <w:spacing w:line="300" w:lineRule="auto"/>
              <w:jc w:val="center"/>
              <w:rPr>
                <w:rFonts w:ascii="宋体" w:hAnsi="宋体" w:cs="宋体"/>
                <w:szCs w:val="21"/>
                <w:lang w:eastAsia="zh-Hans"/>
              </w:rPr>
            </w:pPr>
            <w:r>
              <w:rPr>
                <w:rFonts w:hint="eastAsia" w:ascii="宋体" w:hAnsi="宋体" w:cs="宋体"/>
                <w:sz w:val="21"/>
                <w:szCs w:val="21"/>
                <w:lang w:eastAsia="zh-Hans"/>
              </w:rPr>
              <w:t>10g</w:t>
            </w:r>
          </w:p>
        </w:tc>
        <w:tc>
          <w:tcPr>
            <w:tcW w:w="1667" w:type="dxa"/>
            <w:tcBorders>
              <w:top w:val="single" w:color="000000" w:sz="4" w:space="0"/>
              <w:left w:val="single" w:color="000000" w:sz="4" w:space="0"/>
              <w:bottom w:val="single" w:color="000000" w:sz="8" w:space="0"/>
              <w:right w:val="single" w:color="000000" w:sz="8" w:space="0"/>
            </w:tcBorders>
            <w:tcMar>
              <w:top w:w="0" w:type="dxa"/>
              <w:left w:w="105" w:type="dxa"/>
              <w:bottom w:w="0" w:type="dxa"/>
              <w:right w:w="105" w:type="dxa"/>
            </w:tcMar>
          </w:tcPr>
          <w:p w14:paraId="78C33EB1">
            <w:pPr>
              <w:spacing w:line="300" w:lineRule="auto"/>
              <w:jc w:val="center"/>
              <w:rPr>
                <w:rFonts w:ascii="宋体" w:hAnsi="宋体" w:cs="宋体"/>
                <w:sz w:val="21"/>
                <w:szCs w:val="21"/>
              </w:rPr>
            </w:pPr>
            <w:r>
              <w:rPr>
                <w:rFonts w:hint="eastAsia" w:ascii="宋体" w:hAnsi="宋体" w:cs="宋体"/>
                <w:sz w:val="21"/>
                <w:szCs w:val="21"/>
              </w:rPr>
              <w:t>2袋</w:t>
            </w:r>
          </w:p>
        </w:tc>
        <w:tc>
          <w:tcPr>
            <w:tcW w:w="3216" w:type="dxa"/>
            <w:tcBorders>
              <w:top w:val="single" w:color="000000" w:sz="4" w:space="0"/>
              <w:left w:val="single" w:color="000000" w:sz="4" w:space="0"/>
              <w:bottom w:val="single" w:color="000000" w:sz="8" w:space="0"/>
              <w:right w:val="single" w:color="000000" w:sz="8" w:space="0"/>
            </w:tcBorders>
            <w:tcMar>
              <w:top w:w="0" w:type="dxa"/>
              <w:left w:w="105" w:type="dxa"/>
              <w:bottom w:w="0" w:type="dxa"/>
              <w:right w:w="105" w:type="dxa"/>
            </w:tcMar>
          </w:tcPr>
          <w:p w14:paraId="12949AA8">
            <w:pPr>
              <w:spacing w:line="300" w:lineRule="auto"/>
              <w:jc w:val="center"/>
              <w:rPr>
                <w:rFonts w:ascii="宋体" w:hAnsi="宋体" w:cs="宋体"/>
                <w:szCs w:val="21"/>
                <w:lang w:eastAsia="zh-Hans"/>
              </w:rPr>
            </w:pPr>
            <w:r>
              <w:rPr>
                <w:color w:val="000000"/>
                <w:sz w:val="21"/>
              </w:rPr>
              <w:t>Ch.P.202</w:t>
            </w:r>
            <w:r>
              <w:rPr>
                <w:rFonts w:hint="eastAsia"/>
                <w:color w:val="000000"/>
                <w:sz w:val="21"/>
              </w:rPr>
              <w:t>5</w:t>
            </w:r>
            <w:r>
              <w:rPr>
                <w:color w:val="000000"/>
                <w:sz w:val="21"/>
              </w:rPr>
              <w:t>一部</w:t>
            </w:r>
          </w:p>
        </w:tc>
      </w:tr>
    </w:tbl>
    <w:p w14:paraId="74795150">
      <w:pPr>
        <w:autoSpaceDE w:val="0"/>
        <w:autoSpaceDN w:val="0"/>
        <w:ind w:firstLine="480" w:firstLineChars="200"/>
        <w:rPr>
          <w:rFonts w:ascii="宋体" w:hAnsi="宋体"/>
          <w:szCs w:val="24"/>
        </w:rPr>
      </w:pPr>
      <w:r>
        <w:rPr>
          <w:rFonts w:hint="eastAsia" w:ascii="宋体" w:hAnsi="宋体"/>
          <w:szCs w:val="24"/>
        </w:rPr>
        <w:t>（1）样品的各项技术质量指标应符合招标文件的相应约定的标准，未提交或少提交样品的，评分项中的“样品评审”评分为零分。</w:t>
      </w:r>
    </w:p>
    <w:p w14:paraId="41C523A8">
      <w:pPr>
        <w:autoSpaceDE w:val="0"/>
        <w:autoSpaceDN w:val="0"/>
        <w:ind w:firstLine="480" w:firstLineChars="200"/>
        <w:rPr>
          <w:rFonts w:ascii="宋体" w:hAnsi="宋体"/>
          <w:szCs w:val="24"/>
        </w:rPr>
      </w:pPr>
      <w:r>
        <w:rPr>
          <w:rFonts w:hint="eastAsia" w:ascii="宋体" w:hAnsi="宋体"/>
          <w:szCs w:val="24"/>
        </w:rPr>
        <w:t>（2）样品必须与投标文件分开提交，每个样品必须按照《投标样品清单》格式标识清楚。</w:t>
      </w:r>
    </w:p>
    <w:p w14:paraId="0BC1B33C">
      <w:pPr>
        <w:autoSpaceDE w:val="0"/>
        <w:autoSpaceDN w:val="0"/>
        <w:ind w:firstLine="480" w:firstLineChars="200"/>
        <w:rPr>
          <w:rFonts w:ascii="宋体" w:hAnsi="宋体"/>
          <w:szCs w:val="24"/>
        </w:rPr>
      </w:pPr>
      <w:r>
        <w:rPr>
          <w:rFonts w:hint="eastAsia" w:ascii="宋体" w:hAnsi="宋体"/>
          <w:szCs w:val="24"/>
        </w:rPr>
        <w:t>（3）</w:t>
      </w:r>
      <w:bookmarkStart w:id="6" w:name="OLE_LINK15"/>
      <w:r>
        <w:rPr>
          <w:rFonts w:hint="eastAsia" w:ascii="宋体" w:hAnsi="宋体"/>
          <w:szCs w:val="24"/>
        </w:rPr>
        <w:t>在评审结束之后，中标人的样品应按采购人要求运送到指定地点进行存放，作为实物样品，由采购人进行封存保管且作为日后产品验收标准之一，待全部产品供货完成后再进行退还。采购人及采购代理机构对投标人所递交样品的破损或质量不负任何责任。</w:t>
      </w:r>
    </w:p>
    <w:p w14:paraId="511A1042">
      <w:pPr>
        <w:autoSpaceDE w:val="0"/>
        <w:autoSpaceDN w:val="0"/>
        <w:ind w:firstLine="480" w:firstLineChars="200"/>
        <w:rPr>
          <w:rFonts w:ascii="宋体" w:hAnsi="宋体"/>
          <w:szCs w:val="24"/>
        </w:rPr>
      </w:pPr>
      <w:r>
        <w:rPr>
          <w:rFonts w:hint="eastAsia" w:ascii="宋体" w:hAnsi="宋体"/>
          <w:szCs w:val="24"/>
        </w:rPr>
        <w:t>（4）未中标的投标人应在接到采购代理机构通知之日起3个工作日内自行取回响应样品。3个工作日后不取回样品，则视为自动放弃样品的所有权，采购代理机构有权自行处置。</w:t>
      </w:r>
      <w:bookmarkEnd w:id="6"/>
    </w:p>
    <w:p w14:paraId="325E7455">
      <w:pPr>
        <w:autoSpaceDE w:val="0"/>
        <w:autoSpaceDN w:val="0"/>
        <w:ind w:firstLine="480" w:firstLineChars="200"/>
        <w:rPr>
          <w:rFonts w:ascii="宋体" w:hAnsi="宋体"/>
          <w:szCs w:val="24"/>
        </w:rPr>
      </w:pPr>
      <w:r>
        <w:rPr>
          <w:rFonts w:hint="eastAsia" w:ascii="宋体" w:hAnsi="宋体"/>
          <w:szCs w:val="24"/>
        </w:rPr>
        <w:t>以下为《投标样品清单》格式：</w:t>
      </w:r>
    </w:p>
    <w:tbl>
      <w:tblPr>
        <w:tblStyle w:val="9"/>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382"/>
        <w:gridCol w:w="1586"/>
        <w:gridCol w:w="1471"/>
        <w:gridCol w:w="1497"/>
        <w:gridCol w:w="2354"/>
      </w:tblGrid>
      <w:tr w14:paraId="59569A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290" w:type="dxa"/>
            <w:gridSpan w:val="5"/>
            <w:tcBorders>
              <w:top w:val="single" w:color="000000" w:sz="4" w:space="0"/>
              <w:left w:val="single" w:color="000000" w:sz="4" w:space="0"/>
              <w:bottom w:val="single" w:color="000000" w:sz="4" w:space="0"/>
              <w:right w:val="single" w:color="000000" w:sz="4" w:space="0"/>
            </w:tcBorders>
            <w:shd w:val="clear" w:color="auto" w:fill="EEECE1"/>
            <w:tcMar>
              <w:top w:w="0" w:type="dxa"/>
              <w:left w:w="105" w:type="dxa"/>
              <w:bottom w:w="0" w:type="dxa"/>
              <w:right w:w="105" w:type="dxa"/>
            </w:tcMar>
          </w:tcPr>
          <w:p w14:paraId="0C7689CB">
            <w:pPr>
              <w:spacing w:line="300" w:lineRule="auto"/>
              <w:jc w:val="center"/>
              <w:rPr>
                <w:rFonts w:ascii="宋体" w:hAnsi="宋体" w:cs="宋体"/>
                <w:szCs w:val="21"/>
                <w:lang w:eastAsia="zh-Hans"/>
              </w:rPr>
            </w:pPr>
            <w:r>
              <w:rPr>
                <w:rFonts w:hint="eastAsia" w:ascii="宋体" w:hAnsi="宋体" w:cs="宋体"/>
                <w:b/>
                <w:sz w:val="21"/>
                <w:szCs w:val="21"/>
                <w:lang w:eastAsia="zh-Hans"/>
              </w:rPr>
              <w:t>投标样品清单</w:t>
            </w:r>
          </w:p>
        </w:tc>
      </w:tr>
      <w:tr w14:paraId="3AFA44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290" w:type="dxa"/>
            <w:gridSpan w:val="5"/>
            <w:tcBorders>
              <w:top w:val="nil"/>
              <w:left w:val="single" w:color="000000" w:sz="4" w:space="0"/>
              <w:bottom w:val="single" w:color="000000" w:sz="4" w:space="0"/>
              <w:right w:val="single" w:color="000000" w:sz="4" w:space="0"/>
            </w:tcBorders>
            <w:shd w:val="clear" w:color="auto" w:fill="EEECE1"/>
            <w:tcMar>
              <w:top w:w="0" w:type="dxa"/>
              <w:left w:w="105" w:type="dxa"/>
              <w:bottom w:w="0" w:type="dxa"/>
              <w:right w:w="105" w:type="dxa"/>
            </w:tcMar>
          </w:tcPr>
          <w:p w14:paraId="0D15C6D8">
            <w:pPr>
              <w:spacing w:line="300" w:lineRule="auto"/>
              <w:jc w:val="left"/>
              <w:rPr>
                <w:rFonts w:ascii="宋体" w:hAnsi="宋体" w:cs="宋体"/>
                <w:szCs w:val="21"/>
                <w:lang w:eastAsia="zh-Hans"/>
              </w:rPr>
            </w:pPr>
            <w:r>
              <w:rPr>
                <w:rFonts w:hint="eastAsia" w:ascii="宋体" w:hAnsi="宋体" w:cs="宋体"/>
                <w:b/>
                <w:sz w:val="21"/>
                <w:szCs w:val="21"/>
                <w:lang w:eastAsia="zh-Hans"/>
              </w:rPr>
              <w:t>投标人名称：</w:t>
            </w:r>
          </w:p>
        </w:tc>
      </w:tr>
      <w:tr w14:paraId="4C271F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382" w:type="dxa"/>
            <w:tcBorders>
              <w:top w:val="nil"/>
              <w:left w:val="single" w:color="000000" w:sz="4" w:space="0"/>
              <w:bottom w:val="single" w:color="000000" w:sz="4" w:space="0"/>
              <w:right w:val="single" w:color="000000" w:sz="4" w:space="0"/>
            </w:tcBorders>
            <w:shd w:val="clear" w:color="auto" w:fill="EEECE1"/>
            <w:tcMar>
              <w:top w:w="0" w:type="dxa"/>
              <w:left w:w="105" w:type="dxa"/>
              <w:bottom w:w="0" w:type="dxa"/>
              <w:right w:w="105" w:type="dxa"/>
            </w:tcMar>
          </w:tcPr>
          <w:p w14:paraId="5BA8458F">
            <w:pPr>
              <w:spacing w:line="300" w:lineRule="auto"/>
              <w:jc w:val="center"/>
              <w:rPr>
                <w:rFonts w:ascii="宋体" w:hAnsi="宋体" w:cs="宋体"/>
                <w:szCs w:val="21"/>
                <w:lang w:eastAsia="zh-Hans"/>
              </w:rPr>
            </w:pPr>
            <w:r>
              <w:rPr>
                <w:rFonts w:hint="eastAsia" w:ascii="宋体" w:hAnsi="宋体" w:cs="宋体"/>
                <w:b/>
                <w:sz w:val="21"/>
                <w:szCs w:val="21"/>
                <w:lang w:eastAsia="zh-Hans"/>
              </w:rPr>
              <w:t>序号</w:t>
            </w:r>
          </w:p>
          <w:p w14:paraId="77B50F74">
            <w:pPr>
              <w:spacing w:line="300" w:lineRule="auto"/>
              <w:jc w:val="center"/>
              <w:rPr>
                <w:rFonts w:ascii="宋体" w:hAnsi="宋体" w:cs="宋体"/>
                <w:szCs w:val="21"/>
                <w:lang w:eastAsia="zh-Hans"/>
              </w:rPr>
            </w:pPr>
            <w:r>
              <w:rPr>
                <w:rFonts w:hint="eastAsia" w:ascii="宋体" w:hAnsi="宋体" w:cs="宋体"/>
                <w:sz w:val="21"/>
                <w:szCs w:val="21"/>
                <w:lang w:eastAsia="zh-Hans"/>
              </w:rPr>
              <w:t>（对应上表）</w:t>
            </w:r>
          </w:p>
        </w:tc>
        <w:tc>
          <w:tcPr>
            <w:tcW w:w="1586" w:type="dxa"/>
            <w:tcBorders>
              <w:top w:val="single" w:color="000000" w:sz="4" w:space="0"/>
              <w:left w:val="single" w:color="000000" w:sz="4" w:space="0"/>
              <w:bottom w:val="single" w:color="000000" w:sz="4" w:space="0"/>
              <w:right w:val="single" w:color="000000" w:sz="4" w:space="0"/>
            </w:tcBorders>
            <w:shd w:val="clear" w:color="auto" w:fill="EEECE1"/>
            <w:tcMar>
              <w:top w:w="0" w:type="dxa"/>
              <w:left w:w="105" w:type="dxa"/>
              <w:bottom w:w="0" w:type="dxa"/>
              <w:right w:w="105" w:type="dxa"/>
            </w:tcMar>
          </w:tcPr>
          <w:p w14:paraId="1C518B53">
            <w:pPr>
              <w:spacing w:line="300" w:lineRule="auto"/>
              <w:jc w:val="center"/>
              <w:rPr>
                <w:rFonts w:ascii="宋体" w:hAnsi="宋体" w:cs="宋体"/>
                <w:szCs w:val="21"/>
                <w:lang w:eastAsia="zh-Hans"/>
              </w:rPr>
            </w:pPr>
            <w:r>
              <w:rPr>
                <w:rFonts w:hint="eastAsia" w:ascii="宋体" w:hAnsi="宋体" w:cs="宋体"/>
                <w:b/>
                <w:sz w:val="21"/>
                <w:szCs w:val="21"/>
                <w:lang w:eastAsia="zh-Hans"/>
              </w:rPr>
              <w:t>样品名称</w:t>
            </w:r>
          </w:p>
        </w:tc>
        <w:tc>
          <w:tcPr>
            <w:tcW w:w="1471" w:type="dxa"/>
            <w:tcBorders>
              <w:top w:val="single" w:color="000000" w:sz="4" w:space="0"/>
              <w:left w:val="single" w:color="000000" w:sz="4" w:space="0"/>
              <w:bottom w:val="single" w:color="000000" w:sz="4" w:space="0"/>
              <w:right w:val="single" w:color="000000" w:sz="4" w:space="0"/>
            </w:tcBorders>
            <w:shd w:val="clear" w:color="auto" w:fill="EEECE1"/>
            <w:tcMar>
              <w:top w:w="0" w:type="dxa"/>
              <w:left w:w="105" w:type="dxa"/>
              <w:bottom w:w="0" w:type="dxa"/>
              <w:right w:w="105" w:type="dxa"/>
            </w:tcMar>
          </w:tcPr>
          <w:p w14:paraId="324C084B">
            <w:pPr>
              <w:spacing w:line="300" w:lineRule="auto"/>
              <w:jc w:val="center"/>
              <w:rPr>
                <w:rFonts w:ascii="宋体" w:hAnsi="宋体" w:cs="宋体"/>
                <w:szCs w:val="21"/>
                <w:lang w:eastAsia="zh-Hans"/>
              </w:rPr>
            </w:pPr>
            <w:r>
              <w:rPr>
                <w:rFonts w:hint="eastAsia" w:ascii="宋体" w:hAnsi="宋体" w:cs="宋体"/>
                <w:b/>
                <w:sz w:val="21"/>
                <w:szCs w:val="21"/>
                <w:lang w:eastAsia="zh-Hans"/>
              </w:rPr>
              <w:t>数量</w:t>
            </w:r>
          </w:p>
        </w:tc>
        <w:tc>
          <w:tcPr>
            <w:tcW w:w="1497" w:type="dxa"/>
            <w:tcBorders>
              <w:top w:val="single" w:color="000000" w:sz="4" w:space="0"/>
              <w:left w:val="single" w:color="000000" w:sz="4" w:space="0"/>
              <w:bottom w:val="single" w:color="000000" w:sz="4" w:space="0"/>
              <w:right w:val="single" w:color="000000" w:sz="4" w:space="0"/>
            </w:tcBorders>
            <w:shd w:val="clear" w:color="auto" w:fill="EEECE1"/>
            <w:tcMar>
              <w:top w:w="0" w:type="dxa"/>
              <w:left w:w="105" w:type="dxa"/>
              <w:bottom w:w="0" w:type="dxa"/>
              <w:right w:w="105" w:type="dxa"/>
            </w:tcMar>
          </w:tcPr>
          <w:p w14:paraId="50FD20E1">
            <w:pPr>
              <w:spacing w:line="300" w:lineRule="auto"/>
              <w:jc w:val="center"/>
              <w:rPr>
                <w:rFonts w:ascii="宋体" w:hAnsi="宋体" w:cs="宋体"/>
                <w:szCs w:val="21"/>
                <w:lang w:eastAsia="zh-Hans"/>
              </w:rPr>
            </w:pPr>
            <w:r>
              <w:rPr>
                <w:rFonts w:hint="eastAsia" w:ascii="宋体" w:hAnsi="宋体" w:cs="宋体"/>
                <w:b/>
                <w:sz w:val="21"/>
                <w:szCs w:val="21"/>
                <w:lang w:eastAsia="zh-Hans"/>
              </w:rPr>
              <w:t>产地</w:t>
            </w:r>
          </w:p>
        </w:tc>
        <w:tc>
          <w:tcPr>
            <w:tcW w:w="2354" w:type="dxa"/>
            <w:tcBorders>
              <w:top w:val="single" w:color="000000" w:sz="4" w:space="0"/>
              <w:left w:val="single" w:color="000000" w:sz="4" w:space="0"/>
              <w:bottom w:val="single" w:color="000000" w:sz="4" w:space="0"/>
              <w:right w:val="single" w:color="000000" w:sz="4" w:space="0"/>
            </w:tcBorders>
            <w:shd w:val="clear" w:color="auto" w:fill="EEECE1"/>
            <w:tcMar>
              <w:top w:w="0" w:type="dxa"/>
              <w:left w:w="105" w:type="dxa"/>
              <w:bottom w:w="0" w:type="dxa"/>
              <w:right w:w="105" w:type="dxa"/>
            </w:tcMar>
          </w:tcPr>
          <w:p w14:paraId="6EE8AC2A">
            <w:pPr>
              <w:spacing w:line="300" w:lineRule="auto"/>
              <w:jc w:val="center"/>
              <w:rPr>
                <w:rFonts w:ascii="宋体" w:hAnsi="宋体" w:cs="宋体"/>
                <w:szCs w:val="21"/>
                <w:lang w:eastAsia="zh-Hans"/>
              </w:rPr>
            </w:pPr>
            <w:r>
              <w:rPr>
                <w:rFonts w:hint="eastAsia" w:ascii="宋体" w:hAnsi="宋体" w:cs="宋体"/>
                <w:b/>
                <w:sz w:val="21"/>
                <w:szCs w:val="21"/>
                <w:lang w:eastAsia="zh-Hans"/>
              </w:rPr>
              <w:t>主要技术参数</w:t>
            </w:r>
          </w:p>
        </w:tc>
      </w:tr>
      <w:tr w14:paraId="478BF7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8F81E3A">
            <w:pPr>
              <w:spacing w:line="300" w:lineRule="auto"/>
              <w:rPr>
                <w:rFonts w:ascii="宋体" w:hAnsi="宋体" w:cs="宋体"/>
                <w:szCs w:val="21"/>
                <w:lang w:eastAsia="zh-Hans"/>
              </w:rPr>
            </w:pPr>
          </w:p>
        </w:tc>
        <w:tc>
          <w:tcPr>
            <w:tcW w:w="158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DE36C58">
            <w:pPr>
              <w:spacing w:line="300" w:lineRule="auto"/>
              <w:rPr>
                <w:rFonts w:ascii="宋体" w:hAnsi="宋体" w:cs="宋体"/>
                <w:szCs w:val="21"/>
                <w:lang w:eastAsia="zh-Hans"/>
              </w:rPr>
            </w:pPr>
            <w:r>
              <w:rPr>
                <w:rFonts w:hint="eastAsia" w:ascii="宋体" w:hAnsi="宋体" w:cs="宋体"/>
                <w:sz w:val="21"/>
                <w:szCs w:val="21"/>
                <w:lang w:eastAsia="zh-Hans"/>
              </w:rPr>
              <w:t xml:space="preserve"> </w:t>
            </w:r>
          </w:p>
          <w:p w14:paraId="73FB09F7">
            <w:pPr>
              <w:spacing w:line="300" w:lineRule="auto"/>
              <w:rPr>
                <w:rFonts w:ascii="宋体" w:hAnsi="宋体" w:cs="宋体"/>
                <w:szCs w:val="21"/>
                <w:lang w:eastAsia="zh-Hans"/>
              </w:rPr>
            </w:pPr>
          </w:p>
        </w:tc>
        <w:tc>
          <w:tcPr>
            <w:tcW w:w="147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7CD2A84">
            <w:pPr>
              <w:spacing w:line="300" w:lineRule="auto"/>
              <w:rPr>
                <w:rFonts w:ascii="宋体" w:hAnsi="宋体" w:cs="宋体"/>
                <w:szCs w:val="21"/>
              </w:rPr>
            </w:pPr>
          </w:p>
        </w:tc>
        <w:tc>
          <w:tcPr>
            <w:tcW w:w="149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5376B55">
            <w:pPr>
              <w:spacing w:line="300" w:lineRule="auto"/>
              <w:rPr>
                <w:rFonts w:ascii="宋体" w:hAnsi="宋体" w:cs="宋体"/>
                <w:szCs w:val="21"/>
              </w:rPr>
            </w:pPr>
          </w:p>
        </w:tc>
        <w:tc>
          <w:tcPr>
            <w:tcW w:w="235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BD15A9A">
            <w:pPr>
              <w:spacing w:line="300" w:lineRule="auto"/>
              <w:rPr>
                <w:rFonts w:ascii="宋体" w:hAnsi="宋体" w:cs="宋体"/>
                <w:szCs w:val="21"/>
              </w:rPr>
            </w:pPr>
          </w:p>
        </w:tc>
      </w:tr>
      <w:tr w14:paraId="0DFB32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7D204D5">
            <w:pPr>
              <w:spacing w:line="300" w:lineRule="auto"/>
              <w:rPr>
                <w:rFonts w:ascii="宋体" w:hAnsi="宋体" w:cs="宋体"/>
                <w:szCs w:val="21"/>
              </w:rPr>
            </w:pPr>
          </w:p>
        </w:tc>
        <w:tc>
          <w:tcPr>
            <w:tcW w:w="158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33C4AEA">
            <w:pPr>
              <w:spacing w:line="300" w:lineRule="auto"/>
              <w:rPr>
                <w:rFonts w:ascii="宋体" w:hAnsi="宋体" w:cs="宋体"/>
                <w:szCs w:val="21"/>
              </w:rPr>
            </w:pPr>
          </w:p>
        </w:tc>
        <w:tc>
          <w:tcPr>
            <w:tcW w:w="147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D9BC0BA">
            <w:pPr>
              <w:spacing w:line="300" w:lineRule="auto"/>
              <w:rPr>
                <w:rFonts w:ascii="宋体" w:hAnsi="宋体" w:cs="宋体"/>
                <w:szCs w:val="21"/>
                <w:lang w:eastAsia="zh-Hans"/>
              </w:rPr>
            </w:pPr>
            <w:r>
              <w:rPr>
                <w:rFonts w:hint="eastAsia" w:ascii="宋体" w:hAnsi="宋体" w:cs="宋体"/>
                <w:sz w:val="21"/>
                <w:szCs w:val="21"/>
                <w:lang w:eastAsia="zh-Hans"/>
              </w:rPr>
              <w:t xml:space="preserve"> </w:t>
            </w:r>
          </w:p>
          <w:p w14:paraId="2D6DD6F5">
            <w:pPr>
              <w:spacing w:line="300" w:lineRule="auto"/>
              <w:rPr>
                <w:rFonts w:ascii="宋体" w:hAnsi="宋体" w:cs="宋体"/>
                <w:szCs w:val="21"/>
                <w:lang w:eastAsia="zh-Hans"/>
              </w:rPr>
            </w:pPr>
          </w:p>
        </w:tc>
        <w:tc>
          <w:tcPr>
            <w:tcW w:w="149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3A42846">
            <w:pPr>
              <w:spacing w:line="300" w:lineRule="auto"/>
              <w:rPr>
                <w:rFonts w:ascii="宋体" w:hAnsi="宋体" w:cs="宋体"/>
                <w:szCs w:val="21"/>
              </w:rPr>
            </w:pPr>
          </w:p>
        </w:tc>
        <w:tc>
          <w:tcPr>
            <w:tcW w:w="235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48A5295">
            <w:pPr>
              <w:spacing w:line="300" w:lineRule="auto"/>
              <w:rPr>
                <w:rFonts w:ascii="宋体" w:hAnsi="宋体" w:cs="宋体"/>
                <w:szCs w:val="21"/>
              </w:rPr>
            </w:pPr>
          </w:p>
        </w:tc>
      </w:tr>
      <w:tr w14:paraId="5858DC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D9F930D">
            <w:pPr>
              <w:spacing w:line="300" w:lineRule="auto"/>
              <w:rPr>
                <w:rFonts w:ascii="宋体" w:hAnsi="宋体" w:cs="宋体"/>
                <w:szCs w:val="21"/>
              </w:rPr>
            </w:pPr>
          </w:p>
        </w:tc>
        <w:tc>
          <w:tcPr>
            <w:tcW w:w="158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EB5ABEC">
            <w:pPr>
              <w:spacing w:line="300" w:lineRule="auto"/>
              <w:rPr>
                <w:rFonts w:ascii="宋体" w:hAnsi="宋体" w:cs="宋体"/>
                <w:szCs w:val="21"/>
              </w:rPr>
            </w:pPr>
          </w:p>
        </w:tc>
        <w:tc>
          <w:tcPr>
            <w:tcW w:w="147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E400CC4">
            <w:pPr>
              <w:spacing w:line="300" w:lineRule="auto"/>
              <w:rPr>
                <w:rFonts w:ascii="宋体" w:hAnsi="宋体" w:cs="宋体"/>
                <w:szCs w:val="21"/>
              </w:rPr>
            </w:pPr>
          </w:p>
        </w:tc>
        <w:tc>
          <w:tcPr>
            <w:tcW w:w="149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283C8E9">
            <w:pPr>
              <w:spacing w:line="300" w:lineRule="auto"/>
              <w:rPr>
                <w:rFonts w:ascii="宋体" w:hAnsi="宋体" w:cs="宋体"/>
                <w:szCs w:val="21"/>
                <w:lang w:eastAsia="zh-Hans"/>
              </w:rPr>
            </w:pPr>
            <w:r>
              <w:rPr>
                <w:rFonts w:hint="eastAsia" w:ascii="宋体" w:hAnsi="宋体" w:cs="宋体"/>
                <w:sz w:val="21"/>
                <w:szCs w:val="21"/>
                <w:lang w:eastAsia="zh-Hans"/>
              </w:rPr>
              <w:t xml:space="preserve"> </w:t>
            </w:r>
          </w:p>
          <w:p w14:paraId="35D45B5E">
            <w:pPr>
              <w:spacing w:line="300" w:lineRule="auto"/>
              <w:rPr>
                <w:rFonts w:ascii="宋体" w:hAnsi="宋体" w:cs="宋体"/>
                <w:szCs w:val="21"/>
                <w:lang w:eastAsia="zh-Hans"/>
              </w:rPr>
            </w:pPr>
          </w:p>
        </w:tc>
        <w:tc>
          <w:tcPr>
            <w:tcW w:w="235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4FE1D93">
            <w:pPr>
              <w:spacing w:line="300" w:lineRule="auto"/>
              <w:rPr>
                <w:rFonts w:ascii="宋体" w:hAnsi="宋体" w:cs="宋体"/>
                <w:szCs w:val="21"/>
              </w:rPr>
            </w:pPr>
          </w:p>
        </w:tc>
      </w:tr>
    </w:tbl>
    <w:p w14:paraId="7C42EBC5">
      <w:pPr>
        <w:autoSpaceDE w:val="0"/>
        <w:autoSpaceDN w:val="0"/>
        <w:rPr>
          <w:rFonts w:hint="eastAsia" w:ascii="宋体" w:hAnsi="宋体"/>
          <w:szCs w:val="24"/>
        </w:rPr>
      </w:pPr>
    </w:p>
    <w:p w14:paraId="76BDB2BE">
      <w:pPr>
        <w:pStyle w:val="3"/>
        <w:numPr>
          <w:ilvl w:val="0"/>
          <w:numId w:val="1"/>
        </w:numPr>
        <w:wordWrap/>
        <w:spacing w:before="0" w:after="0" w:line="415" w:lineRule="auto"/>
        <w:ind w:left="0" w:firstLine="0"/>
        <w:rPr>
          <w:rFonts w:hint="eastAsia" w:ascii="宋体" w:hAnsi="宋体"/>
          <w:sz w:val="28"/>
          <w:szCs w:val="28"/>
        </w:rPr>
      </w:pPr>
      <w:r>
        <w:rPr>
          <w:rFonts w:hint="eastAsia" w:ascii="宋体" w:hAnsi="宋体"/>
          <w:sz w:val="28"/>
          <w:szCs w:val="28"/>
        </w:rPr>
        <w:t>采购项目技术要求</w:t>
      </w:r>
    </w:p>
    <w:p w14:paraId="633AE57B">
      <w:pPr>
        <w:autoSpaceDE w:val="0"/>
        <w:autoSpaceDN w:val="0"/>
        <w:rPr>
          <w:rFonts w:hint="eastAsia" w:ascii="宋体" w:hAnsi="宋体"/>
          <w:b/>
          <w:szCs w:val="24"/>
        </w:rPr>
      </w:pPr>
      <w:r>
        <w:rPr>
          <w:rFonts w:hint="eastAsia" w:ascii="宋体" w:hAnsi="宋体"/>
          <w:b/>
          <w:szCs w:val="24"/>
        </w:rPr>
        <w:t>（一）中药饮片及中药代配、代煎配送质量要求及责任：</w:t>
      </w:r>
    </w:p>
    <w:p w14:paraId="536DB072">
      <w:pPr>
        <w:autoSpaceDE w:val="0"/>
        <w:autoSpaceDN w:val="0"/>
        <w:ind w:firstLine="480" w:firstLineChars="200"/>
        <w:rPr>
          <w:rFonts w:hint="eastAsia" w:ascii="宋体" w:hAnsi="宋体"/>
          <w:szCs w:val="24"/>
        </w:rPr>
      </w:pPr>
      <w:bookmarkStart w:id="7" w:name="OLE_LINK83"/>
      <w:r>
        <w:rPr>
          <w:rFonts w:hint="eastAsia" w:ascii="宋体" w:hAnsi="宋体"/>
          <w:szCs w:val="24"/>
        </w:rPr>
        <w:t>1.中标人直接供应给采购人的中药饮片及中标人中药煎药中心用于代配、代煎配送服务的中药饮片应符合《中华人民共和国药典》（最新版）、《广东省中药材标准》、《广东省中药炮制规范》或各省中药材标准和炮制规范的要求，并满足采购人的用药习惯。如服务期内上级部门颁发新规定，则按新规定执行，相关规定之间有冲突的，以最高标准的规定为准。</w:t>
      </w:r>
    </w:p>
    <w:p w14:paraId="7BF9DAE6">
      <w:pPr>
        <w:autoSpaceDE w:val="0"/>
        <w:autoSpaceDN w:val="0"/>
        <w:ind w:firstLine="480" w:firstLineChars="200"/>
        <w:rPr>
          <w:rFonts w:hint="eastAsia" w:ascii="宋体" w:hAnsi="宋体"/>
          <w:szCs w:val="24"/>
        </w:rPr>
      </w:pPr>
      <w:r>
        <w:rPr>
          <w:rFonts w:hint="eastAsia" w:ascii="宋体" w:hAnsi="宋体"/>
          <w:szCs w:val="24"/>
        </w:rPr>
        <w:t>2.中标人供应的中药饮片在符合国家相关质量标准的前提下，应符合签订本项目合同时所约定的质量标准。</w:t>
      </w:r>
    </w:p>
    <w:p w14:paraId="6D79B085">
      <w:pPr>
        <w:autoSpaceDE w:val="0"/>
        <w:autoSpaceDN w:val="0"/>
        <w:ind w:firstLine="480" w:firstLineChars="200"/>
        <w:rPr>
          <w:rFonts w:hint="eastAsia" w:ascii="宋体" w:hAnsi="宋体"/>
          <w:szCs w:val="24"/>
        </w:rPr>
      </w:pPr>
      <w:r>
        <w:rPr>
          <w:rFonts w:hint="eastAsia" w:ascii="宋体" w:hAnsi="宋体"/>
          <w:szCs w:val="24"/>
        </w:rPr>
        <w:t>3.中标人每次配送中药饮片时，须按每个品种每批次提供省市级药检报告或企业自检报告书；如采用</w:t>
      </w:r>
      <w:bookmarkStart w:id="8" w:name="OLE_LINK32"/>
      <w:bookmarkStart w:id="9" w:name="OLE_LINK31"/>
      <w:r>
        <w:rPr>
          <w:rFonts w:hint="eastAsia" w:ascii="宋体" w:hAnsi="宋体"/>
          <w:szCs w:val="24"/>
        </w:rPr>
        <w:t>非境内道地产区</w:t>
      </w:r>
      <w:bookmarkEnd w:id="8"/>
      <w:bookmarkEnd w:id="9"/>
      <w:r>
        <w:rPr>
          <w:rFonts w:hint="eastAsia" w:ascii="宋体" w:hAnsi="宋体"/>
          <w:szCs w:val="24"/>
        </w:rPr>
        <w:t>中药材炮制的中药饮片，还须提供该类药材由药品监管部门颁发的批准证明文件复印件；国家实行批准文号管理的中药饮片，须提供注册证书与货同行。</w:t>
      </w:r>
    </w:p>
    <w:p w14:paraId="30A7B00A">
      <w:pPr>
        <w:autoSpaceDE w:val="0"/>
        <w:autoSpaceDN w:val="0"/>
        <w:ind w:firstLine="480" w:firstLineChars="200"/>
        <w:rPr>
          <w:rFonts w:hint="eastAsia" w:ascii="宋体" w:hAnsi="宋体"/>
          <w:szCs w:val="24"/>
        </w:rPr>
      </w:pPr>
      <w:r>
        <w:rPr>
          <w:rFonts w:hint="eastAsia" w:ascii="宋体" w:hAnsi="宋体"/>
          <w:szCs w:val="24"/>
        </w:rPr>
        <w:t>4.中标人供应的中药饮片必须按照国家中医药管理局要求实行色标管理，包装标签应包括品名、规格、产地、生产企业、产品批号、生产日期等。实施批准文号管理的中药饮片还必须注明药品批准文号；毒性中药饮片的包装还须增印毒性药品警示标记。</w:t>
      </w:r>
    </w:p>
    <w:p w14:paraId="07C2729C">
      <w:pPr>
        <w:autoSpaceDE w:val="0"/>
        <w:autoSpaceDN w:val="0"/>
        <w:ind w:firstLine="480" w:firstLineChars="200"/>
        <w:rPr>
          <w:rFonts w:hint="eastAsia" w:ascii="宋体" w:hAnsi="宋体"/>
          <w:szCs w:val="24"/>
        </w:rPr>
      </w:pPr>
      <w:r>
        <w:rPr>
          <w:rFonts w:hint="eastAsia" w:ascii="宋体" w:hAnsi="宋体"/>
          <w:szCs w:val="24"/>
        </w:rPr>
        <w:t>5.中标人提供的全部中药饮片均应按国家规定的标准及保护措施进行包装，每一个包装箱内应附有一份详细装箱单。包装材料、标记和包装箱内外的单据应符合国家的有关要求。</w:t>
      </w:r>
    </w:p>
    <w:p w14:paraId="7080244E">
      <w:pPr>
        <w:autoSpaceDE w:val="0"/>
        <w:autoSpaceDN w:val="0"/>
        <w:ind w:firstLine="480" w:firstLineChars="200"/>
        <w:rPr>
          <w:rFonts w:hint="eastAsia" w:ascii="宋体" w:hAnsi="宋体"/>
          <w:szCs w:val="24"/>
        </w:rPr>
      </w:pPr>
      <w:r>
        <w:rPr>
          <w:rFonts w:hint="eastAsia" w:ascii="宋体" w:hAnsi="宋体"/>
          <w:szCs w:val="24"/>
        </w:rPr>
        <w:t>6.毒性中药饮片、按麻醉药品管理的中药饮片、珍稀野生动物类药材等有特殊管理规定的中药饮片应符合国家有关规定。</w:t>
      </w:r>
    </w:p>
    <w:p w14:paraId="09322BFA">
      <w:pPr>
        <w:autoSpaceDE w:val="0"/>
        <w:autoSpaceDN w:val="0"/>
        <w:ind w:firstLine="480" w:firstLineChars="200"/>
        <w:rPr>
          <w:rFonts w:hint="eastAsia" w:ascii="宋体" w:hAnsi="宋体"/>
          <w:szCs w:val="24"/>
        </w:rPr>
      </w:pPr>
      <w:r>
        <w:rPr>
          <w:rFonts w:hint="eastAsia" w:ascii="宋体" w:hAnsi="宋体"/>
          <w:szCs w:val="24"/>
        </w:rPr>
        <w:t>7.中标人交付的中药饮片原则上不得超过生产日期1年，特殊情况须及时通知采购人，并经采购人验收合格后方可入库。</w:t>
      </w:r>
    </w:p>
    <w:p w14:paraId="26C245AC">
      <w:pPr>
        <w:autoSpaceDE w:val="0"/>
        <w:autoSpaceDN w:val="0"/>
        <w:ind w:firstLine="480" w:firstLineChars="200"/>
        <w:rPr>
          <w:rFonts w:hint="eastAsia" w:ascii="宋体" w:hAnsi="宋体"/>
          <w:szCs w:val="24"/>
        </w:rPr>
      </w:pPr>
      <w:r>
        <w:rPr>
          <w:rFonts w:hint="eastAsia" w:ascii="宋体" w:hAnsi="宋体"/>
          <w:szCs w:val="24"/>
        </w:rPr>
        <w:t>8.中标人应建设有中药饮片调剂场所及中药煎煮中心，其规模布局等应符合国家相关的法律法规要求，且在合同签订时能即时运行。中标人在合作期间应加强投入，以保证药品煎煮的相关技术能追踪到最前沿技术。</w:t>
      </w:r>
    </w:p>
    <w:p w14:paraId="6642AE38">
      <w:pPr>
        <w:autoSpaceDE w:val="0"/>
        <w:autoSpaceDN w:val="0"/>
        <w:ind w:firstLine="480" w:firstLineChars="200"/>
        <w:rPr>
          <w:rFonts w:hint="eastAsia" w:ascii="宋体" w:hAnsi="宋体"/>
          <w:szCs w:val="24"/>
        </w:rPr>
      </w:pPr>
      <w:r>
        <w:rPr>
          <w:rFonts w:hint="eastAsia" w:ascii="宋体" w:hAnsi="宋体"/>
          <w:szCs w:val="24"/>
        </w:rPr>
        <w:t>9.中药饮片调剂及中药煎煮中心使用的中药饮片由投标人提供，投标人应具有中药饮片生产厂或与中药饮片生产厂有稳定合作关系，能够对中药饮片的生产质量进行直接有效的管理和控制，并保证中药饮片质量符合现行版《中华人民共和国药典》、《广东省中药材标准》、《广东省中药饮片炮制规范》以及各省中药材标准和炮制规范的要求，且质量不低于医院现用中药饮片质量。药品包装用材料必须符合《药品包装用材料、容器管理办法》的相关规定。</w:t>
      </w:r>
    </w:p>
    <w:p w14:paraId="193FFD0B">
      <w:pPr>
        <w:autoSpaceDE w:val="0"/>
        <w:autoSpaceDN w:val="0"/>
        <w:ind w:firstLine="480" w:firstLineChars="200"/>
        <w:rPr>
          <w:rFonts w:hint="eastAsia" w:ascii="宋体" w:hAnsi="宋体"/>
          <w:szCs w:val="24"/>
        </w:rPr>
      </w:pPr>
      <w:r>
        <w:rPr>
          <w:rFonts w:hint="eastAsia" w:ascii="宋体" w:hAnsi="宋体"/>
          <w:szCs w:val="24"/>
        </w:rPr>
        <w:t>10.投标人应遵守《处方管理办法》、《药品管理法》、《中药处方与调剂规范》等相关法律法规要求，建立健全中药处方调剂（包括处方审核、调配、复核、发药等）的相关规范，确保中药处方调剂准确度。</w:t>
      </w:r>
    </w:p>
    <w:p w14:paraId="5E2E3AC2">
      <w:pPr>
        <w:autoSpaceDE w:val="0"/>
        <w:autoSpaceDN w:val="0"/>
        <w:ind w:firstLine="480" w:firstLineChars="200"/>
        <w:rPr>
          <w:rFonts w:hint="eastAsia" w:ascii="宋体" w:hAnsi="宋体"/>
          <w:szCs w:val="24"/>
        </w:rPr>
      </w:pPr>
      <w:r>
        <w:rPr>
          <w:rFonts w:hint="eastAsia" w:ascii="宋体" w:hAnsi="宋体"/>
          <w:szCs w:val="24"/>
        </w:rPr>
        <w:t>11.中标人在代煎中药时必须符合国家卫健委、国家中医药管理局等的有关标准和质量要求，所使用的场地、设备、包装材料、环境卫生和煎药人员资质等须符合《医疗机构中药煎药室管理规范》的有关规定和《中药煎药机》（GB/T 30219-2013）、《中药汤剂包装机》（JB/T 20116-2009）、《生活饮用水卫生标准》（GB 5749-2022）等行业标准。采购人有权随时监控以保证质量。</w:t>
      </w:r>
    </w:p>
    <w:p w14:paraId="194CF3B7">
      <w:pPr>
        <w:autoSpaceDE w:val="0"/>
        <w:autoSpaceDN w:val="0"/>
        <w:ind w:firstLine="480" w:firstLineChars="200"/>
        <w:rPr>
          <w:rFonts w:hint="eastAsia" w:ascii="宋体" w:hAnsi="宋体"/>
          <w:szCs w:val="24"/>
        </w:rPr>
      </w:pPr>
      <w:r>
        <w:rPr>
          <w:rFonts w:hint="eastAsia" w:ascii="宋体" w:hAnsi="宋体"/>
          <w:szCs w:val="24"/>
        </w:rPr>
        <w:t>12.为保证中药饮片和中药饮片代配、代煎配送的质量，中标人需按相关法规要求制定药品调剂、煎煮制度，采购人有权随时对中标人进行抽查检验，并派出专人长期监督。</w:t>
      </w:r>
    </w:p>
    <w:p w14:paraId="1C40DD75">
      <w:pPr>
        <w:autoSpaceDE w:val="0"/>
        <w:autoSpaceDN w:val="0"/>
        <w:ind w:firstLine="480" w:firstLineChars="200"/>
        <w:rPr>
          <w:rFonts w:hint="eastAsia" w:ascii="宋体" w:hAnsi="宋体"/>
          <w:szCs w:val="24"/>
        </w:rPr>
      </w:pPr>
      <w:r>
        <w:rPr>
          <w:rFonts w:hint="eastAsia" w:ascii="宋体" w:hAnsi="宋体"/>
          <w:szCs w:val="24"/>
        </w:rPr>
        <w:t>13.中标人在包装、运输、配送中药饮片和中药代煎药液过程中应有保证中药饮片和中药代煎药液质量的措施，必须符合国家及地方中药饮片和代煎药液的相关规定。</w:t>
      </w:r>
      <w:bookmarkEnd w:id="7"/>
    </w:p>
    <w:p w14:paraId="028E6B5D">
      <w:pPr>
        <w:autoSpaceDE w:val="0"/>
        <w:autoSpaceDN w:val="0"/>
        <w:rPr>
          <w:rFonts w:hint="eastAsia" w:ascii="宋体" w:hAnsi="宋体"/>
          <w:b/>
          <w:szCs w:val="24"/>
        </w:rPr>
      </w:pPr>
      <w:r>
        <w:rPr>
          <w:rFonts w:hint="eastAsia" w:ascii="宋体" w:hAnsi="宋体"/>
          <w:b/>
          <w:szCs w:val="24"/>
        </w:rPr>
        <w:t>（二）中药饮片包装运输要求：</w:t>
      </w:r>
    </w:p>
    <w:p w14:paraId="1BBF9D7E">
      <w:pPr>
        <w:autoSpaceDE w:val="0"/>
        <w:autoSpaceDN w:val="0"/>
        <w:ind w:firstLine="480" w:firstLineChars="200"/>
        <w:rPr>
          <w:rFonts w:hint="eastAsia" w:ascii="宋体" w:hAnsi="宋体"/>
          <w:szCs w:val="24"/>
        </w:rPr>
      </w:pPr>
      <w:bookmarkStart w:id="10" w:name="OLE_LINK84"/>
      <w:r>
        <w:rPr>
          <w:rFonts w:hint="eastAsia" w:ascii="宋体" w:hAnsi="宋体"/>
          <w:szCs w:val="24"/>
        </w:rPr>
        <w:t>1.本项目合同签订后，中标人应积极组织货物来源，保证按本项目合同约定及时、足量供应中药饮片。</w:t>
      </w:r>
    </w:p>
    <w:p w14:paraId="1FC9E01E">
      <w:pPr>
        <w:autoSpaceDE w:val="0"/>
        <w:autoSpaceDN w:val="0"/>
        <w:ind w:firstLine="480" w:firstLineChars="200"/>
        <w:rPr>
          <w:rFonts w:hint="eastAsia" w:ascii="宋体" w:hAnsi="宋体"/>
          <w:szCs w:val="24"/>
        </w:rPr>
      </w:pPr>
      <w:r>
        <w:rPr>
          <w:rFonts w:hint="eastAsia" w:ascii="宋体" w:hAnsi="宋体"/>
          <w:szCs w:val="24"/>
        </w:rPr>
        <w:t>2.中标人供应的中药饮片，要求采用小包装，参照《中华人民共和国药典》和临床用药习惯，包装规格应能提供包含但不限于1g，3g，5g，6g，10g，12g，15g，30g多种规格；如果有其他特殊包装需求，应能够满足临床要求。并保证能按《中药饮片配送服务清单》需求的包装规格提供。</w:t>
      </w:r>
    </w:p>
    <w:p w14:paraId="0395CA50">
      <w:pPr>
        <w:autoSpaceDE w:val="0"/>
        <w:autoSpaceDN w:val="0"/>
        <w:ind w:firstLine="480" w:firstLineChars="200"/>
        <w:rPr>
          <w:rFonts w:hint="eastAsia" w:ascii="宋体" w:hAnsi="宋体"/>
          <w:szCs w:val="24"/>
        </w:rPr>
      </w:pPr>
      <w:r>
        <w:rPr>
          <w:rFonts w:hint="eastAsia" w:ascii="宋体" w:hAnsi="宋体"/>
          <w:szCs w:val="24"/>
        </w:rPr>
        <w:t>3.中标人供应的中药饮片小包装色标须符合国家有关政策文件的要求。2024年8月1日起须符合《中药饮片标签管理规定》（2023年第90号）文件的要求。</w:t>
      </w:r>
    </w:p>
    <w:p w14:paraId="5C0376A6">
      <w:pPr>
        <w:autoSpaceDE w:val="0"/>
        <w:autoSpaceDN w:val="0"/>
        <w:ind w:firstLine="480" w:firstLineChars="200"/>
        <w:rPr>
          <w:rFonts w:hint="eastAsia" w:ascii="宋体" w:hAnsi="宋体"/>
          <w:szCs w:val="24"/>
        </w:rPr>
      </w:pPr>
      <w:r>
        <w:rPr>
          <w:rFonts w:hint="eastAsia" w:ascii="宋体" w:hAnsi="宋体"/>
          <w:szCs w:val="24"/>
        </w:rPr>
        <w:t>4.中标人供应的中药饮片包装标签：中药饮片在进行多规格单剂量包装时，应在每个内包装袋上和外包装袋上附有该饮片的产品标签。中药饮片的内、外标签应当标注产品属性、品名、规格、药材产地、生产企业、产品批号、生产日期、装量、保质期、执行标准等内容。</w:t>
      </w:r>
    </w:p>
    <w:p w14:paraId="2DD54BEF">
      <w:pPr>
        <w:autoSpaceDE w:val="0"/>
        <w:autoSpaceDN w:val="0"/>
        <w:ind w:firstLine="480" w:firstLineChars="200"/>
        <w:rPr>
          <w:rFonts w:hint="eastAsia" w:ascii="宋体" w:hAnsi="宋体"/>
          <w:szCs w:val="24"/>
        </w:rPr>
      </w:pPr>
      <w:r>
        <w:rPr>
          <w:rFonts w:hint="eastAsia" w:ascii="宋体" w:hAnsi="宋体"/>
          <w:szCs w:val="24"/>
        </w:rPr>
        <w:t>5.中药饮片包装必须是原厂包装，其包装应符合国家有关法律法规的要求，内包装应当符合药用要求，中包装和外包装应能够防潮、防污染，有足够的厚度及机械轻度，易储存、运输。中药饮片贮藏要求为防压的，外包装应采用耐压的箱或盒保证。凡由于包装不良造成的损失和由此产生的费用均由中标人承担。</w:t>
      </w:r>
    </w:p>
    <w:p w14:paraId="68B909D4">
      <w:pPr>
        <w:autoSpaceDE w:val="0"/>
        <w:autoSpaceDN w:val="0"/>
        <w:ind w:firstLine="480" w:firstLineChars="200"/>
        <w:rPr>
          <w:rFonts w:hint="eastAsia" w:ascii="宋体" w:hAnsi="宋体"/>
          <w:szCs w:val="24"/>
        </w:rPr>
      </w:pPr>
      <w:r>
        <w:rPr>
          <w:rFonts w:hint="eastAsia" w:ascii="宋体" w:hAnsi="宋体"/>
          <w:szCs w:val="24"/>
        </w:rPr>
        <w:t>6.实施批准文号管理的中药饮片还必须注明药品批准文号；毒性中药饮片的包装还须增印毒性药品警示标记。</w:t>
      </w:r>
    </w:p>
    <w:p w14:paraId="733AB1EA">
      <w:pPr>
        <w:autoSpaceDE w:val="0"/>
        <w:autoSpaceDN w:val="0"/>
        <w:ind w:firstLine="480" w:firstLineChars="200"/>
        <w:rPr>
          <w:rFonts w:hint="eastAsia" w:ascii="宋体" w:hAnsi="宋体"/>
          <w:szCs w:val="24"/>
        </w:rPr>
      </w:pPr>
      <w:r>
        <w:rPr>
          <w:rFonts w:hint="eastAsia" w:ascii="宋体" w:hAnsi="宋体"/>
          <w:szCs w:val="24"/>
        </w:rPr>
        <w:t>7.中标人提供的全部中药饮片均应按国家规定的标准及保护措施进行包装，每一个包装箱内应附有一份详细装箱单。包装材料、标记和包装箱内外的单据应符合国家的有关要求。</w:t>
      </w:r>
    </w:p>
    <w:p w14:paraId="1AD77266">
      <w:pPr>
        <w:autoSpaceDE/>
        <w:autoSpaceDN/>
        <w:ind w:firstLine="480" w:firstLineChars="200"/>
        <w:jc w:val="left"/>
        <w:rPr>
          <w:rFonts w:hint="eastAsia" w:ascii="宋体" w:hAnsi="宋体"/>
          <w:szCs w:val="24"/>
        </w:rPr>
      </w:pPr>
      <w:r>
        <w:rPr>
          <w:rFonts w:hint="eastAsia" w:ascii="宋体" w:hAnsi="宋体"/>
          <w:szCs w:val="24"/>
        </w:rPr>
        <w:t>8.中标人应能满足采购人每周多次的采购计划，一般产品保证自采购人发出采购计划后48小时内配送到采购人指定地点，紧急用药保证自采购人发出采购计划后8小时内配送到采购人指定地点。中标人配送的中药饮片的品种、规格、数量等必须严格按照采购人发送的计划执行。</w:t>
      </w:r>
    </w:p>
    <w:p w14:paraId="24B7D5C5">
      <w:pPr>
        <w:autoSpaceDE w:val="0"/>
        <w:autoSpaceDN w:val="0"/>
        <w:ind w:firstLine="480" w:firstLineChars="200"/>
        <w:rPr>
          <w:rFonts w:hint="eastAsia" w:ascii="宋体" w:hAnsi="宋体"/>
          <w:szCs w:val="24"/>
        </w:rPr>
      </w:pPr>
      <w:r>
        <w:rPr>
          <w:rFonts w:hint="eastAsia" w:ascii="宋体" w:hAnsi="宋体"/>
          <w:szCs w:val="24"/>
        </w:rPr>
        <w:t>9.中标人在交货时，应按采购人的要求，同时提供合法的药品销售出库单据、验收记录表、同批号的药检报告书等。</w:t>
      </w:r>
    </w:p>
    <w:p w14:paraId="707247B8">
      <w:pPr>
        <w:autoSpaceDE w:val="0"/>
        <w:autoSpaceDN w:val="0"/>
        <w:ind w:firstLine="480" w:firstLineChars="200"/>
        <w:rPr>
          <w:rFonts w:hint="eastAsia" w:ascii="宋体" w:hAnsi="宋体"/>
          <w:szCs w:val="24"/>
        </w:rPr>
      </w:pPr>
      <w:r>
        <w:rPr>
          <w:rFonts w:hint="eastAsia" w:ascii="宋体" w:hAnsi="宋体"/>
          <w:szCs w:val="24"/>
        </w:rPr>
        <w:t>10.中标人应送货到采购人指定的地点并在经采购人验收合格后及时提供饮片货柜上架服务。发现进货的中药饮片存在破损、近效期或其他不合格包装等情况时应及时更换。</w:t>
      </w:r>
      <w:bookmarkEnd w:id="10"/>
    </w:p>
    <w:p w14:paraId="7C02C23F">
      <w:pPr>
        <w:autoSpaceDE w:val="0"/>
        <w:autoSpaceDN w:val="0"/>
        <w:rPr>
          <w:rFonts w:hint="eastAsia" w:ascii="宋体" w:hAnsi="宋体"/>
          <w:b/>
          <w:szCs w:val="24"/>
        </w:rPr>
      </w:pPr>
      <w:r>
        <w:rPr>
          <w:rFonts w:hint="eastAsia" w:ascii="宋体" w:hAnsi="宋体"/>
          <w:b/>
          <w:szCs w:val="24"/>
        </w:rPr>
        <w:t>（三）配送服务通知、配送时间、地点及要求：</w:t>
      </w:r>
    </w:p>
    <w:p w14:paraId="4350294F">
      <w:pPr>
        <w:autoSpaceDE w:val="0"/>
        <w:autoSpaceDN w:val="0"/>
        <w:ind w:firstLine="482" w:firstLineChars="200"/>
        <w:rPr>
          <w:rFonts w:hint="eastAsia" w:ascii="宋体" w:hAnsi="宋体"/>
          <w:b/>
          <w:szCs w:val="24"/>
        </w:rPr>
      </w:pPr>
      <w:r>
        <w:rPr>
          <w:rFonts w:hint="eastAsia" w:ascii="宋体" w:hAnsi="宋体"/>
          <w:b/>
          <w:szCs w:val="24"/>
        </w:rPr>
        <w:t>1.配送通知方式：</w:t>
      </w:r>
    </w:p>
    <w:p w14:paraId="5D4B4058">
      <w:pPr>
        <w:autoSpaceDE w:val="0"/>
        <w:autoSpaceDN w:val="0"/>
        <w:ind w:firstLine="480" w:firstLineChars="200"/>
        <w:rPr>
          <w:rFonts w:hint="eastAsia" w:ascii="宋体" w:hAnsi="宋体"/>
          <w:szCs w:val="24"/>
        </w:rPr>
      </w:pPr>
      <w:r>
        <w:rPr>
          <w:rFonts w:hint="eastAsia" w:ascii="宋体" w:hAnsi="宋体"/>
          <w:szCs w:val="24"/>
        </w:rPr>
        <w:t>1.1.采购人向中标人发出中药饮片配送通知的方式包括但不限于电话、电子邮件等方式，中标人应指定授权代表及联系人负责与采购人的接洽事务，采购人向中标人发出配送通知后即视同送达中标人。（若中标人授权代表有变应至少提前一个月进行书面通知采购人）</w:t>
      </w:r>
    </w:p>
    <w:p w14:paraId="00185C3F">
      <w:pPr>
        <w:autoSpaceDE w:val="0"/>
        <w:autoSpaceDN w:val="0"/>
        <w:ind w:firstLine="480" w:firstLineChars="200"/>
        <w:rPr>
          <w:rFonts w:hint="eastAsia" w:ascii="宋体" w:hAnsi="宋体"/>
          <w:szCs w:val="24"/>
        </w:rPr>
      </w:pPr>
      <w:r>
        <w:rPr>
          <w:rFonts w:hint="eastAsia" w:ascii="宋体" w:hAnsi="宋体"/>
          <w:szCs w:val="24"/>
        </w:rPr>
        <w:t>1.2.</w:t>
      </w:r>
      <w:bookmarkStart w:id="11" w:name="OLE_LINK85"/>
      <w:r>
        <w:rPr>
          <w:rFonts w:hint="eastAsia" w:ascii="宋体" w:hAnsi="宋体"/>
          <w:szCs w:val="24"/>
        </w:rPr>
        <w:t>中药代配、代煎配送服务通知：为保障双方数据的安全，中标人建设网络专线与采购人系统对接（包括手机APP等），具备完善的信息化平台，包括业务办理系统、完善的审方系统、远程实时监控系统、处方状态和物流查询系统、后勤客服服务系统等，负责解决专线对接采购人信息系统并保证信息安全，中标人负责保障专线的通畅（提供系统界面截图并标注在投标文件中页）。采购人负责将需要代配、代煎配送的中药处方、患者电话、收货地址等详细信息按照双方约定的方式实时传送给中标人，中标人在收到上述信息后，应立即打印出“配方清单”，并按相应的操作规程进行审方、调配、煎煮及配送。中标人同时汇制相应表格，以利与采购人留存的处方核对和办理中药代配、代煎配送交接；该电子信息双方需保存1年以上，并在双方或第三方（顾客）提出异议时提供，以备核查。中标人应遵守保密义务，不得泄露采购人传送的患者信息内容，否则中标人要承担违约责任。采购人有权随时对投标人抽查检验，并派出专人以飞行检查或长年派驻形式进行监督。投标人需在工作区域配备高清监控设施，必要时采购人有权调取视频。</w:t>
      </w:r>
      <w:bookmarkEnd w:id="11"/>
    </w:p>
    <w:p w14:paraId="01EEF5FB">
      <w:pPr>
        <w:autoSpaceDE w:val="0"/>
        <w:autoSpaceDN w:val="0"/>
        <w:ind w:firstLine="482" w:firstLineChars="200"/>
        <w:rPr>
          <w:rFonts w:hint="eastAsia" w:ascii="宋体" w:hAnsi="宋体"/>
          <w:b/>
          <w:szCs w:val="24"/>
        </w:rPr>
      </w:pPr>
      <w:r>
        <w:rPr>
          <w:rFonts w:hint="eastAsia" w:ascii="宋体" w:hAnsi="宋体"/>
          <w:b/>
          <w:szCs w:val="24"/>
        </w:rPr>
        <w:t>2.配送时间：</w:t>
      </w:r>
    </w:p>
    <w:p w14:paraId="2C18BFE8">
      <w:pPr>
        <w:autoSpaceDE w:val="0"/>
        <w:autoSpaceDN w:val="0"/>
        <w:ind w:firstLine="480" w:firstLineChars="200"/>
        <w:rPr>
          <w:rFonts w:hint="eastAsia" w:ascii="宋体" w:hAnsi="宋体"/>
          <w:szCs w:val="24"/>
        </w:rPr>
      </w:pPr>
      <w:bookmarkStart w:id="12" w:name="OLE_LINK86"/>
      <w:r>
        <w:rPr>
          <w:rFonts w:hint="eastAsia" w:ascii="宋体" w:hAnsi="宋体"/>
          <w:szCs w:val="24"/>
        </w:rPr>
        <w:t>2.1.中药饮片每次配送的时间和数量以采购人的采购计划为准。</w:t>
      </w:r>
    </w:p>
    <w:p w14:paraId="2712547C">
      <w:pPr>
        <w:autoSpaceDE w:val="0"/>
        <w:autoSpaceDN w:val="0"/>
        <w:ind w:firstLine="480" w:firstLineChars="200"/>
        <w:rPr>
          <w:rFonts w:hint="eastAsia" w:ascii="宋体" w:hAnsi="宋体"/>
          <w:szCs w:val="24"/>
        </w:rPr>
      </w:pPr>
      <w:r>
        <w:rPr>
          <w:rFonts w:hint="eastAsia" w:ascii="宋体" w:hAnsi="宋体"/>
          <w:szCs w:val="24"/>
        </w:rPr>
        <w:t>2.2.中药饮片代配、代煎配送时间：</w:t>
      </w:r>
    </w:p>
    <w:p w14:paraId="35BB0E34">
      <w:pPr>
        <w:autoSpaceDE w:val="0"/>
        <w:autoSpaceDN w:val="0"/>
        <w:ind w:firstLine="480" w:firstLineChars="200"/>
        <w:rPr>
          <w:rFonts w:hint="eastAsia" w:ascii="宋体" w:hAnsi="宋体"/>
          <w:szCs w:val="24"/>
        </w:rPr>
      </w:pPr>
      <w:r>
        <w:rPr>
          <w:rFonts w:hint="eastAsia" w:ascii="宋体" w:hAnsi="宋体"/>
          <w:szCs w:val="24"/>
        </w:rPr>
        <w:t>（1）广州市区内配送到采购人各个院区：11:00前的处方，当天16:30前送达；当日11:00后17:30前的处方，次日11:00前送达。</w:t>
      </w:r>
    </w:p>
    <w:p w14:paraId="209D9578">
      <w:pPr>
        <w:autoSpaceDE w:val="0"/>
        <w:autoSpaceDN w:val="0"/>
        <w:ind w:firstLine="480" w:firstLineChars="200"/>
        <w:rPr>
          <w:rFonts w:hint="eastAsia" w:ascii="宋体" w:hAnsi="宋体"/>
          <w:szCs w:val="24"/>
        </w:rPr>
      </w:pPr>
      <w:r>
        <w:rPr>
          <w:rFonts w:hint="eastAsia" w:ascii="宋体" w:hAnsi="宋体"/>
          <w:szCs w:val="24"/>
        </w:rPr>
        <w:t>（2）广州市区内配送给患者：11:00前处方，当天22:00前送达；11:00后17:30前的处方，次日12:00前送达。</w:t>
      </w:r>
    </w:p>
    <w:p w14:paraId="1EEDA169">
      <w:pPr>
        <w:autoSpaceDE w:val="0"/>
        <w:autoSpaceDN w:val="0"/>
        <w:ind w:firstLine="480" w:firstLineChars="200"/>
        <w:rPr>
          <w:rFonts w:hint="eastAsia" w:ascii="宋体" w:hAnsi="宋体"/>
          <w:szCs w:val="24"/>
        </w:rPr>
      </w:pPr>
      <w:r>
        <w:rPr>
          <w:rFonts w:hint="eastAsia" w:ascii="宋体" w:hAnsi="宋体"/>
          <w:szCs w:val="24"/>
        </w:rPr>
        <w:t>（3）广东省内（除广州外）或广东省外，交付时间适当延长1~2日。</w:t>
      </w:r>
    </w:p>
    <w:p w14:paraId="482EFDF4">
      <w:pPr>
        <w:autoSpaceDE w:val="0"/>
        <w:autoSpaceDN w:val="0"/>
        <w:ind w:firstLine="480" w:firstLineChars="200"/>
        <w:rPr>
          <w:rFonts w:hint="eastAsia" w:ascii="宋体" w:hAnsi="宋体"/>
          <w:szCs w:val="24"/>
        </w:rPr>
      </w:pPr>
      <w:r>
        <w:rPr>
          <w:rFonts w:hint="eastAsia" w:ascii="宋体" w:hAnsi="宋体"/>
          <w:szCs w:val="24"/>
        </w:rPr>
        <w:t>（4）广州市内急送可在4小时内送达。</w:t>
      </w:r>
    </w:p>
    <w:p w14:paraId="12B5C6AB">
      <w:pPr>
        <w:autoSpaceDE w:val="0"/>
        <w:autoSpaceDN w:val="0"/>
        <w:ind w:firstLine="480" w:firstLineChars="200"/>
        <w:rPr>
          <w:rFonts w:hint="eastAsia" w:ascii="宋体" w:hAnsi="宋体"/>
          <w:szCs w:val="24"/>
        </w:rPr>
      </w:pPr>
      <w:r>
        <w:rPr>
          <w:rFonts w:hint="eastAsia" w:ascii="宋体" w:hAnsi="宋体"/>
          <w:szCs w:val="24"/>
        </w:rPr>
        <w:t>（5）如有特殊交付要求或其他急送要求的，经双方协商一致后，中标人按协商的时间交付。若因中标人原因未能及时将相关药品送至患者处的，中标人应及时报告采购人并向患者解释。因此造成患者进行投诉、信访的，由中标人承担一切的责任并负责解决。</w:t>
      </w:r>
      <w:bookmarkEnd w:id="12"/>
    </w:p>
    <w:p w14:paraId="7DA7A679">
      <w:pPr>
        <w:autoSpaceDE w:val="0"/>
        <w:autoSpaceDN w:val="0"/>
        <w:ind w:firstLine="482" w:firstLineChars="200"/>
        <w:rPr>
          <w:rFonts w:hint="eastAsia" w:ascii="宋体" w:hAnsi="宋体"/>
          <w:b/>
          <w:szCs w:val="24"/>
        </w:rPr>
      </w:pPr>
      <w:r>
        <w:rPr>
          <w:rFonts w:hint="eastAsia" w:ascii="宋体" w:hAnsi="宋体"/>
          <w:b/>
          <w:szCs w:val="24"/>
        </w:rPr>
        <w:t>3.配送地点：</w:t>
      </w:r>
    </w:p>
    <w:p w14:paraId="4EA17384">
      <w:pPr>
        <w:autoSpaceDE w:val="0"/>
        <w:autoSpaceDN w:val="0"/>
        <w:ind w:firstLine="480" w:firstLineChars="200"/>
        <w:rPr>
          <w:rFonts w:hint="eastAsia" w:ascii="宋体" w:hAnsi="宋体"/>
          <w:szCs w:val="24"/>
        </w:rPr>
      </w:pPr>
      <w:bookmarkStart w:id="13" w:name="OLE_LINK40"/>
      <w:r>
        <w:rPr>
          <w:rFonts w:hint="eastAsia" w:ascii="宋体" w:hAnsi="宋体"/>
          <w:szCs w:val="24"/>
        </w:rPr>
        <w:t>3.1.中标人应配送中药饮片到采购人指定的地点：广州市荔湾区多宝路63号门诊6楼中药房或广州市黄埔区长岭街道长贤路55号门诊一楼中药房（如遇科室调整，按采购人指定的地点）。</w:t>
      </w:r>
    </w:p>
    <w:p w14:paraId="4C440734">
      <w:pPr>
        <w:autoSpaceDE w:val="0"/>
        <w:autoSpaceDN w:val="0"/>
        <w:ind w:firstLine="480" w:firstLineChars="200"/>
        <w:rPr>
          <w:rFonts w:hint="eastAsia" w:ascii="宋体" w:hAnsi="宋体"/>
          <w:szCs w:val="24"/>
        </w:rPr>
      </w:pPr>
      <w:r>
        <w:rPr>
          <w:rFonts w:hint="eastAsia" w:ascii="宋体" w:hAnsi="宋体"/>
          <w:szCs w:val="24"/>
        </w:rPr>
        <w:t>3.2.煎煮好的汤剂或调剂好的饮片由中标人直接送到采购人（中药房或病房护士站）以及患者指定地点。患者必须持有效证件签收；相关配送费用由中标人或第三方快递服务平台负责向病人（中药房或病房护士站）收取，收费标准按政府相关部门有关规定，采购人、中标人双方协商一致后执行。</w:t>
      </w:r>
      <w:bookmarkEnd w:id="13"/>
    </w:p>
    <w:p w14:paraId="7EE086C6">
      <w:pPr>
        <w:pStyle w:val="3"/>
        <w:numPr>
          <w:ilvl w:val="0"/>
          <w:numId w:val="1"/>
        </w:numPr>
        <w:wordWrap/>
        <w:spacing w:before="0" w:after="0" w:line="415" w:lineRule="auto"/>
        <w:ind w:left="0" w:firstLine="0"/>
        <w:rPr>
          <w:rFonts w:ascii="宋体" w:hAnsi="宋体"/>
          <w:sz w:val="28"/>
          <w:szCs w:val="28"/>
        </w:rPr>
      </w:pPr>
      <w:r>
        <w:rPr>
          <w:rFonts w:hint="eastAsia" w:ascii="宋体" w:hAnsi="宋体"/>
          <w:sz w:val="28"/>
          <w:szCs w:val="28"/>
        </w:rPr>
        <w:t>采购项目商务要求</w:t>
      </w:r>
    </w:p>
    <w:p w14:paraId="1E53D314">
      <w:pPr>
        <w:autoSpaceDE w:val="0"/>
        <w:autoSpaceDN w:val="0"/>
        <w:ind w:firstLine="422" w:firstLineChars="200"/>
        <w:rPr>
          <w:rFonts w:hint="eastAsia" w:ascii="宋体" w:hAnsi="宋体"/>
          <w:b/>
          <w:szCs w:val="24"/>
        </w:rPr>
      </w:pPr>
      <w:r>
        <w:rPr>
          <w:rFonts w:hint="eastAsia" w:ascii="宋体" w:hAnsi="宋体" w:cs="宋体"/>
          <w:b/>
          <w:sz w:val="21"/>
          <w:szCs w:val="21"/>
          <w:lang w:eastAsia="zh-Hans"/>
        </w:rPr>
        <w:t>★</w:t>
      </w:r>
      <w:r>
        <w:rPr>
          <w:rFonts w:hint="eastAsia" w:ascii="宋体" w:hAnsi="宋体"/>
          <w:b/>
          <w:szCs w:val="24"/>
        </w:rPr>
        <w:t>（一）合同履行期限</w:t>
      </w:r>
    </w:p>
    <w:p w14:paraId="7721D1F5">
      <w:pPr>
        <w:autoSpaceDE w:val="0"/>
        <w:autoSpaceDN w:val="0"/>
        <w:ind w:firstLine="480" w:firstLineChars="200"/>
        <w:rPr>
          <w:rFonts w:hint="eastAsia" w:ascii="宋体" w:hAnsi="宋体"/>
          <w:szCs w:val="24"/>
        </w:rPr>
      </w:pPr>
      <w:r>
        <w:rPr>
          <w:rFonts w:hint="eastAsia" w:ascii="宋体" w:hAnsi="宋体"/>
          <w:szCs w:val="24"/>
        </w:rPr>
        <w:t>1.第一中标人服务期限：</w:t>
      </w:r>
      <w:bookmarkStart w:id="14" w:name="OLE_LINK87"/>
      <w:bookmarkStart w:id="15" w:name="OLE_LINK88"/>
      <w:r>
        <w:rPr>
          <w:rFonts w:hint="eastAsia" w:ascii="宋体" w:hAnsi="宋体"/>
          <w:szCs w:val="24"/>
        </w:rPr>
        <w:t>自合同签订之日起服务达18个月或结算费用达到人民币2000万元后结束，以先到者为准。</w:t>
      </w:r>
      <w:bookmarkEnd w:id="14"/>
      <w:bookmarkEnd w:id="15"/>
    </w:p>
    <w:p w14:paraId="3F95B737">
      <w:pPr>
        <w:autoSpaceDE w:val="0"/>
        <w:autoSpaceDN w:val="0"/>
        <w:ind w:firstLine="480" w:firstLineChars="200"/>
        <w:rPr>
          <w:rFonts w:hint="eastAsia" w:ascii="宋体" w:hAnsi="宋体"/>
          <w:szCs w:val="24"/>
        </w:rPr>
      </w:pPr>
      <w:r>
        <w:rPr>
          <w:rFonts w:hint="eastAsia" w:ascii="宋体" w:hAnsi="宋体"/>
          <w:szCs w:val="24"/>
        </w:rPr>
        <w:t>2.第二中标人自第一中标人</w:t>
      </w:r>
      <w:bookmarkStart w:id="16" w:name="OLE_LINK89"/>
      <w:r>
        <w:rPr>
          <w:rFonts w:hint="eastAsia" w:ascii="宋体" w:hAnsi="宋体"/>
          <w:szCs w:val="24"/>
        </w:rPr>
        <w:t>结束合同服务之日起服务达18个月或结算费用达到人民币2000万元后结束，以先到者为准。</w:t>
      </w:r>
      <w:bookmarkEnd w:id="16"/>
    </w:p>
    <w:p w14:paraId="5275E9EC">
      <w:pPr>
        <w:autoSpaceDE w:val="0"/>
        <w:autoSpaceDN w:val="0"/>
        <w:ind w:firstLine="480" w:firstLineChars="200"/>
        <w:rPr>
          <w:rFonts w:hint="eastAsia" w:ascii="宋体" w:hAnsi="宋体"/>
          <w:szCs w:val="24"/>
        </w:rPr>
      </w:pPr>
      <w:r>
        <w:rPr>
          <w:rFonts w:hint="eastAsia" w:ascii="宋体" w:hAnsi="宋体"/>
          <w:szCs w:val="24"/>
        </w:rPr>
        <w:t>3.对应合同期内每季度考核一次，考核合格后继续履行合同；如考核不达标，采购人有权终止合同。</w:t>
      </w:r>
    </w:p>
    <w:p w14:paraId="19DE96C0">
      <w:pPr>
        <w:tabs>
          <w:tab w:val="center" w:pos="4832"/>
        </w:tabs>
        <w:autoSpaceDE w:val="0"/>
        <w:autoSpaceDN w:val="0"/>
        <w:ind w:firstLine="422" w:firstLineChars="200"/>
        <w:rPr>
          <w:rFonts w:hint="eastAsia" w:ascii="宋体" w:hAnsi="宋体"/>
          <w:b/>
          <w:szCs w:val="24"/>
        </w:rPr>
      </w:pPr>
      <w:r>
        <w:rPr>
          <w:rFonts w:hint="eastAsia" w:ascii="宋体" w:hAnsi="宋体" w:cs="宋体"/>
          <w:b/>
          <w:sz w:val="21"/>
          <w:szCs w:val="21"/>
          <w:lang w:eastAsia="zh-Hans"/>
        </w:rPr>
        <w:t>★</w:t>
      </w:r>
      <w:r>
        <w:rPr>
          <w:rFonts w:hint="eastAsia" w:ascii="宋体" w:hAnsi="宋体"/>
          <w:b/>
          <w:szCs w:val="24"/>
        </w:rPr>
        <w:t>（二）报价要求</w:t>
      </w:r>
      <w:r>
        <w:rPr>
          <w:rFonts w:ascii="宋体" w:hAnsi="宋体"/>
          <w:b/>
          <w:szCs w:val="24"/>
        </w:rPr>
        <w:tab/>
      </w:r>
    </w:p>
    <w:p w14:paraId="54F5D7E2">
      <w:pPr>
        <w:autoSpaceDE w:val="0"/>
        <w:autoSpaceDN w:val="0"/>
        <w:ind w:firstLine="480" w:firstLineChars="200"/>
        <w:rPr>
          <w:rFonts w:hint="eastAsia" w:ascii="宋体" w:hAnsi="宋体"/>
          <w:szCs w:val="24"/>
        </w:rPr>
      </w:pPr>
      <w:r>
        <w:rPr>
          <w:rFonts w:hint="eastAsia" w:ascii="宋体" w:hAnsi="宋体"/>
          <w:szCs w:val="24"/>
        </w:rPr>
        <w:t xml:space="preserve">1.本项目的结算支付均以人民币为货币单位。 </w:t>
      </w:r>
    </w:p>
    <w:p w14:paraId="02B9D4E0">
      <w:pPr>
        <w:autoSpaceDE w:val="0"/>
        <w:autoSpaceDN w:val="0"/>
        <w:ind w:firstLine="480" w:firstLineChars="200"/>
        <w:rPr>
          <w:rFonts w:hint="eastAsia" w:ascii="宋体" w:hAnsi="宋体"/>
          <w:szCs w:val="24"/>
        </w:rPr>
      </w:pPr>
      <w:r>
        <w:rPr>
          <w:rFonts w:hint="eastAsia" w:ascii="宋体" w:hAnsi="宋体"/>
          <w:szCs w:val="24"/>
        </w:rPr>
        <w:t>2.</w:t>
      </w:r>
      <w:bookmarkStart w:id="17" w:name="OLE_LINK91"/>
      <w:bookmarkStart w:id="18" w:name="OLE_LINK90"/>
      <w:r>
        <w:rPr>
          <w:rFonts w:hint="eastAsia" w:ascii="宋体" w:hAnsi="宋体"/>
          <w:szCs w:val="24"/>
        </w:rPr>
        <w:t>中药饮片市场价格受产地环境、气候、疫情、产量变化等因素影响较大，中标人应充分评估产品价格波动所带来的经营风险以及政策变动可能带来的风险。项目按清单单价×中标折扣率得出的中标单价结算，在合同期内不作调整。本项目合同有效期内，中标人供应中药饮片价格已包含税费、配送、保险费、加工费、检验费、伴随服务费用以及合同实施过程中的一切可预见和不可预见费用，采购人除按中标人实际配送数量向中标人支付中药饮片货款外不再另行支付任何费用。</w:t>
      </w:r>
      <w:bookmarkEnd w:id="17"/>
      <w:bookmarkEnd w:id="18"/>
      <w:r>
        <w:rPr>
          <w:rFonts w:hint="eastAsia" w:ascii="宋体" w:hAnsi="宋体"/>
          <w:szCs w:val="24"/>
        </w:rPr>
        <w:t xml:space="preserve"> </w:t>
      </w:r>
    </w:p>
    <w:p w14:paraId="2A47E642">
      <w:pPr>
        <w:autoSpaceDE w:val="0"/>
        <w:autoSpaceDN w:val="0"/>
        <w:ind w:firstLine="480" w:firstLineChars="200"/>
        <w:rPr>
          <w:rFonts w:hint="eastAsia" w:ascii="宋体" w:hAnsi="宋体"/>
          <w:szCs w:val="24"/>
        </w:rPr>
      </w:pPr>
      <w:bookmarkStart w:id="19" w:name="OLE_LINK93"/>
      <w:bookmarkStart w:id="20" w:name="OLE_LINK92"/>
      <w:r>
        <w:rPr>
          <w:rFonts w:hint="eastAsia" w:ascii="宋体" w:hAnsi="宋体"/>
          <w:szCs w:val="24"/>
        </w:rPr>
        <w:t xml:space="preserve">3.本项目合同有效期内，采购人除按中标人实际配送、代煎、代配的中药饮片数量以及代煎剂数向中标人支付中药饮片货款及代煎费外不再另行支付任何费用。代煎配送费用已包括但不限于各种人工费用、投入工具/系统费等物料费用、中药调剂服务、代煎服务、可提供免费配送服务地区物流配送费用、管理费用、加工费、检验费、伴随服务费、税费、利润、保险费等以及合同实施过程中的一切可预见和不可预见费用，原则上合同期内不能调整。 </w:t>
      </w:r>
    </w:p>
    <w:p w14:paraId="60E0FD4E">
      <w:pPr>
        <w:autoSpaceDE w:val="0"/>
        <w:autoSpaceDN w:val="0"/>
        <w:ind w:firstLine="480" w:firstLineChars="200"/>
        <w:rPr>
          <w:rFonts w:hint="eastAsia" w:ascii="宋体" w:hAnsi="宋体"/>
          <w:szCs w:val="24"/>
        </w:rPr>
      </w:pPr>
      <w:r>
        <w:rPr>
          <w:rFonts w:hint="eastAsia" w:ascii="宋体" w:hAnsi="宋体"/>
          <w:szCs w:val="24"/>
        </w:rPr>
        <w:t xml:space="preserve">4.中药饮片煎药费用根据《广州地区公立医疗机构基本医疗服务价格目录（2021年版）》为2.75元/剂，如服务费用有政策更新，以最新文件规定为准。 </w:t>
      </w:r>
    </w:p>
    <w:p w14:paraId="74990D91">
      <w:pPr>
        <w:autoSpaceDE w:val="0"/>
        <w:autoSpaceDN w:val="0"/>
        <w:ind w:firstLine="480" w:firstLineChars="200"/>
        <w:rPr>
          <w:rFonts w:hint="eastAsia" w:ascii="宋体" w:hAnsi="宋体"/>
          <w:szCs w:val="24"/>
        </w:rPr>
      </w:pPr>
      <w:r>
        <w:rPr>
          <w:rFonts w:hint="eastAsia" w:ascii="宋体" w:hAnsi="宋体"/>
          <w:szCs w:val="24"/>
        </w:rPr>
        <w:t>5.投标折扣率有效报价范围：0％＜投标折扣率≤100％，即投标人的投标折扣率不得高于</w:t>
      </w:r>
      <w:r>
        <w:rPr>
          <w:rFonts w:hint="eastAsia" w:ascii="宋体" w:hAnsi="宋体"/>
          <w:szCs w:val="24"/>
          <w:lang w:val="en-US" w:eastAsia="zh-CN"/>
        </w:rPr>
        <w:t xml:space="preserve"> </w:t>
      </w:r>
      <w:r>
        <w:rPr>
          <w:rFonts w:hint="eastAsia" w:ascii="宋体" w:hAnsi="宋体"/>
          <w:szCs w:val="24"/>
        </w:rPr>
        <w:t xml:space="preserve">100％，投标折扣率必须为固定报价（例如提供八折优惠，投标折扣率写为80％，不接受区间报价如 80％～85％），最多保留个位整数。投标人的投标报价（即投标折扣率）超出有效报价范围的将被视为无效投标。 </w:t>
      </w:r>
    </w:p>
    <w:p w14:paraId="3502342E">
      <w:pPr>
        <w:autoSpaceDE w:val="0"/>
        <w:autoSpaceDN w:val="0"/>
        <w:ind w:firstLine="480" w:firstLineChars="200"/>
        <w:rPr>
          <w:rFonts w:hint="eastAsia" w:ascii="宋体" w:hAnsi="宋体"/>
          <w:szCs w:val="24"/>
        </w:rPr>
      </w:pPr>
      <w:r>
        <w:rPr>
          <w:rFonts w:hint="eastAsia" w:ascii="宋体" w:hAnsi="宋体"/>
          <w:szCs w:val="24"/>
        </w:rPr>
        <w:t xml:space="preserve">6.投标人必须对本项目全部内容进行投标报价，不允许只对项目部分内容进行投标。如有缺漏的，将导致投标无效。投标人如获得中标资格并签订合同，其投标折扣率即成为本项目的该中标人的合同折扣率，且中标人在服务期间不得随意更改合同折扣率。 </w:t>
      </w:r>
    </w:p>
    <w:p w14:paraId="2F165210">
      <w:pPr>
        <w:autoSpaceDE w:val="0"/>
        <w:autoSpaceDN w:val="0"/>
        <w:ind w:firstLine="480" w:firstLineChars="200"/>
        <w:rPr>
          <w:rFonts w:ascii="宋体" w:hAnsi="宋体"/>
          <w:szCs w:val="24"/>
        </w:rPr>
      </w:pPr>
      <w:r>
        <w:rPr>
          <w:rFonts w:hint="eastAsia" w:ascii="宋体" w:hAnsi="宋体"/>
          <w:szCs w:val="24"/>
        </w:rPr>
        <w:t>7.</w:t>
      </w:r>
      <w:r>
        <w:rPr>
          <w:rFonts w:hint="eastAsia" w:ascii="宋体" w:hAnsi="宋体"/>
          <w:szCs w:val="24"/>
          <w:highlight w:val="none"/>
        </w:rPr>
        <w:t>投标人应被认为在填报投标报价（投标折扣率）之前，已经仔细阅读了本招标文件的所有有关章节以及审查了所有相关资料，</w:t>
      </w:r>
      <w:r>
        <w:rPr>
          <w:rFonts w:hint="eastAsia" w:ascii="宋体" w:hAnsi="宋体"/>
          <w:szCs w:val="24"/>
        </w:rPr>
        <w:t>已确保本次招标的所有招标范围内的各种</w:t>
      </w:r>
      <w:bookmarkStart w:id="32" w:name="_GoBack"/>
      <w:bookmarkEnd w:id="32"/>
      <w:r>
        <w:rPr>
          <w:rFonts w:hint="eastAsia" w:ascii="宋体" w:hAnsi="宋体"/>
          <w:szCs w:val="24"/>
        </w:rPr>
        <w:t>价格风险均已包含在投标报价（投标折扣率）内。开标后，任何因投标人的疏漏而提出的不利于采购人的另行支付与本项目相关的任何费用的申请将不被接受。</w:t>
      </w:r>
      <w:bookmarkEnd w:id="19"/>
      <w:bookmarkEnd w:id="20"/>
    </w:p>
    <w:p w14:paraId="3D80D47D">
      <w:pPr>
        <w:autoSpaceDE w:val="0"/>
        <w:autoSpaceDN w:val="0"/>
        <w:ind w:firstLine="422" w:firstLineChars="200"/>
        <w:rPr>
          <w:rFonts w:ascii="宋体" w:hAnsi="宋体"/>
          <w:b/>
          <w:szCs w:val="24"/>
        </w:rPr>
      </w:pPr>
      <w:r>
        <w:rPr>
          <w:rFonts w:hint="eastAsia" w:ascii="宋体" w:hAnsi="宋体" w:cs="宋体"/>
          <w:b/>
          <w:sz w:val="21"/>
          <w:szCs w:val="21"/>
          <w:lang w:eastAsia="zh-Hans"/>
        </w:rPr>
        <w:t>★</w:t>
      </w:r>
      <w:r>
        <w:rPr>
          <w:rFonts w:hint="eastAsia" w:ascii="宋体" w:hAnsi="宋体"/>
          <w:b/>
          <w:szCs w:val="24"/>
        </w:rPr>
        <w:t>（三）付款方式</w:t>
      </w:r>
    </w:p>
    <w:p w14:paraId="22DD2B0E">
      <w:pPr>
        <w:autoSpaceDE w:val="0"/>
        <w:autoSpaceDN w:val="0"/>
        <w:ind w:firstLine="480" w:firstLineChars="200"/>
        <w:rPr>
          <w:rFonts w:hint="eastAsia" w:ascii="宋体" w:hAnsi="宋体"/>
          <w:szCs w:val="24"/>
        </w:rPr>
      </w:pPr>
      <w:bookmarkStart w:id="21" w:name="OLE_LINK94"/>
      <w:r>
        <w:rPr>
          <w:rFonts w:hint="eastAsia" w:ascii="宋体" w:hAnsi="宋体"/>
          <w:szCs w:val="24"/>
        </w:rPr>
        <w:t xml:space="preserve">1.中药饮片采购：中标人根据采购人每次采购的品种、数量及金额开出等额合法有效的增值税普通发票，随货同行，交给采购人。 </w:t>
      </w:r>
    </w:p>
    <w:p w14:paraId="3FBAF6FD">
      <w:pPr>
        <w:autoSpaceDE w:val="0"/>
        <w:autoSpaceDN w:val="0"/>
        <w:ind w:firstLine="480" w:firstLineChars="200"/>
        <w:rPr>
          <w:rFonts w:hint="eastAsia" w:ascii="宋体" w:hAnsi="宋体"/>
          <w:szCs w:val="24"/>
        </w:rPr>
      </w:pPr>
      <w:r>
        <w:rPr>
          <w:rFonts w:hint="eastAsia" w:ascii="宋体" w:hAnsi="宋体"/>
          <w:szCs w:val="24"/>
        </w:rPr>
        <w:t xml:space="preserve">2.中药饮片代煎代配：使用量核对数据以“月”为单位。中标人每月月底计算中药饮片使用金额并开具发票给到采购人，采购人每月按照发票金额申请中药饮片使用费用向中标人支付；中药代煎煎药费用按政府物价部门的相关文件执行，中标人按双方核对一致的代煎剂数按月开具煎煮服务费发票给采购人，采购人按约定时间付款给中标人（180天）。 </w:t>
      </w:r>
    </w:p>
    <w:p w14:paraId="22AFC80A">
      <w:pPr>
        <w:autoSpaceDE w:val="0"/>
        <w:autoSpaceDN w:val="0"/>
        <w:ind w:firstLine="480" w:firstLineChars="200"/>
        <w:rPr>
          <w:rFonts w:hint="eastAsia" w:ascii="宋体" w:hAnsi="宋体"/>
          <w:szCs w:val="24"/>
        </w:rPr>
      </w:pPr>
      <w:r>
        <w:rPr>
          <w:rFonts w:hint="eastAsia" w:ascii="宋体" w:hAnsi="宋体"/>
          <w:szCs w:val="24"/>
        </w:rPr>
        <w:t>3.款项按月据实结算，每月支付一次，付款方式采用支票、转账或银行汇票等方式。</w:t>
      </w:r>
    </w:p>
    <w:p w14:paraId="61221379">
      <w:pPr>
        <w:autoSpaceDE w:val="0"/>
        <w:autoSpaceDN w:val="0"/>
        <w:ind w:firstLine="480" w:firstLineChars="200"/>
        <w:rPr>
          <w:rFonts w:ascii="宋体" w:hAnsi="宋体"/>
          <w:szCs w:val="24"/>
        </w:rPr>
      </w:pPr>
      <w:r>
        <w:rPr>
          <w:rFonts w:hint="eastAsia" w:ascii="宋体" w:hAnsi="宋体"/>
          <w:szCs w:val="24"/>
        </w:rPr>
        <w:t>4.如因中标人未及时与采购人结算、中标人在付款前未提供相应合法有效等额发票、中标人未提供本项目合同要求的文件（包括但不限于资质证明、药品合格证明、验收合格证明等）的，采购人不承担相应延期付款责任。</w:t>
      </w:r>
      <w:bookmarkEnd w:id="21"/>
    </w:p>
    <w:p w14:paraId="3F1F91DE">
      <w:pPr>
        <w:autoSpaceDE w:val="0"/>
        <w:autoSpaceDN w:val="0"/>
        <w:ind w:firstLine="422" w:firstLineChars="200"/>
        <w:rPr>
          <w:rFonts w:hint="eastAsia" w:ascii="宋体" w:hAnsi="宋体"/>
          <w:b/>
          <w:szCs w:val="24"/>
        </w:rPr>
      </w:pPr>
      <w:r>
        <w:rPr>
          <w:rFonts w:hint="eastAsia" w:ascii="宋体" w:hAnsi="宋体" w:cs="宋体"/>
          <w:b/>
          <w:sz w:val="21"/>
          <w:szCs w:val="21"/>
          <w:lang w:eastAsia="zh-Hans"/>
        </w:rPr>
        <w:t>★</w:t>
      </w:r>
      <w:r>
        <w:rPr>
          <w:rFonts w:ascii="宋体" w:hAnsi="宋体"/>
          <w:b/>
          <w:szCs w:val="24"/>
        </w:rPr>
        <w:t>（四）</w:t>
      </w:r>
      <w:r>
        <w:rPr>
          <w:rFonts w:hint="eastAsia" w:ascii="宋体" w:hAnsi="宋体"/>
          <w:b/>
          <w:szCs w:val="24"/>
        </w:rPr>
        <w:t>验收要求</w:t>
      </w:r>
    </w:p>
    <w:p w14:paraId="3C663CE9">
      <w:pPr>
        <w:autoSpaceDE w:val="0"/>
        <w:autoSpaceDN w:val="0"/>
        <w:ind w:firstLine="480" w:firstLineChars="200"/>
        <w:rPr>
          <w:rFonts w:hint="eastAsia" w:ascii="宋体" w:hAnsi="宋体"/>
          <w:szCs w:val="24"/>
        </w:rPr>
      </w:pPr>
      <w:bookmarkStart w:id="22" w:name="OLE_LINK98"/>
      <w:bookmarkStart w:id="23" w:name="OLE_LINK97"/>
      <w:r>
        <w:rPr>
          <w:rFonts w:hint="eastAsia" w:ascii="宋体" w:hAnsi="宋体"/>
          <w:szCs w:val="24"/>
        </w:rPr>
        <w:t xml:space="preserve">1.验收标准：服务合同、招标文件、中标人的投标文件、质量标准等。 </w:t>
      </w:r>
    </w:p>
    <w:p w14:paraId="1E1B04BD">
      <w:pPr>
        <w:autoSpaceDE w:val="0"/>
        <w:autoSpaceDN w:val="0"/>
        <w:ind w:firstLine="480" w:firstLineChars="200"/>
        <w:rPr>
          <w:rFonts w:hint="eastAsia" w:ascii="宋体" w:hAnsi="宋体"/>
          <w:szCs w:val="24"/>
        </w:rPr>
      </w:pPr>
      <w:r>
        <w:rPr>
          <w:rFonts w:hint="eastAsia" w:ascii="宋体" w:hAnsi="宋体"/>
          <w:szCs w:val="24"/>
        </w:rPr>
        <w:t xml:space="preserve">2.验收时间：交付现场由采购人组织药师对中药饮片进行验收。 </w:t>
      </w:r>
    </w:p>
    <w:p w14:paraId="4A651424">
      <w:pPr>
        <w:autoSpaceDE w:val="0"/>
        <w:autoSpaceDN w:val="0"/>
        <w:ind w:firstLine="480" w:firstLineChars="200"/>
        <w:rPr>
          <w:rFonts w:hint="eastAsia" w:ascii="宋体" w:hAnsi="宋体"/>
          <w:szCs w:val="24"/>
        </w:rPr>
      </w:pPr>
      <w:r>
        <w:rPr>
          <w:rFonts w:hint="eastAsia" w:ascii="宋体" w:hAnsi="宋体"/>
          <w:szCs w:val="24"/>
        </w:rPr>
        <w:t xml:space="preserve">3.合格标准： </w:t>
      </w:r>
    </w:p>
    <w:p w14:paraId="0EEEA44D">
      <w:pPr>
        <w:autoSpaceDE w:val="0"/>
        <w:autoSpaceDN w:val="0"/>
        <w:ind w:firstLine="480" w:firstLineChars="200"/>
        <w:rPr>
          <w:rFonts w:hint="eastAsia" w:ascii="宋体" w:hAnsi="宋体"/>
          <w:szCs w:val="24"/>
        </w:rPr>
      </w:pPr>
      <w:r>
        <w:rPr>
          <w:rFonts w:hint="eastAsia" w:ascii="宋体" w:hAnsi="宋体"/>
          <w:szCs w:val="24"/>
        </w:rPr>
        <w:t>（1）中药饮片和煎煮汤液数量、规格、质量、表观、包装等信息符合验收标准要求。</w:t>
      </w:r>
    </w:p>
    <w:p w14:paraId="1E09C57B">
      <w:pPr>
        <w:autoSpaceDE w:val="0"/>
        <w:autoSpaceDN w:val="0"/>
        <w:ind w:firstLine="480" w:firstLineChars="200"/>
        <w:rPr>
          <w:rFonts w:hint="eastAsia" w:ascii="宋体" w:hAnsi="宋体"/>
          <w:szCs w:val="24"/>
        </w:rPr>
      </w:pPr>
      <w:r>
        <w:rPr>
          <w:rFonts w:hint="eastAsia" w:ascii="宋体" w:hAnsi="宋体"/>
          <w:szCs w:val="24"/>
        </w:rPr>
        <w:t xml:space="preserve">（2）质量检测报告、质量合格证、送货单等资料齐全。 </w:t>
      </w:r>
    </w:p>
    <w:p w14:paraId="6D1094E7">
      <w:pPr>
        <w:autoSpaceDE w:val="0"/>
        <w:autoSpaceDN w:val="0"/>
        <w:ind w:firstLine="480" w:firstLineChars="200"/>
        <w:rPr>
          <w:rFonts w:hint="eastAsia" w:ascii="宋体" w:hAnsi="宋体"/>
          <w:szCs w:val="24"/>
        </w:rPr>
      </w:pPr>
      <w:r>
        <w:rPr>
          <w:rFonts w:hint="eastAsia" w:ascii="宋体" w:hAnsi="宋体"/>
          <w:szCs w:val="24"/>
        </w:rPr>
        <w:t xml:space="preserve">（3）在规定的时间内送达采购人指定地点。 </w:t>
      </w:r>
    </w:p>
    <w:p w14:paraId="3704B1AD">
      <w:pPr>
        <w:autoSpaceDE w:val="0"/>
        <w:autoSpaceDN w:val="0"/>
        <w:ind w:firstLine="480" w:firstLineChars="200"/>
        <w:rPr>
          <w:rFonts w:hint="eastAsia" w:ascii="宋体" w:hAnsi="宋体"/>
          <w:szCs w:val="24"/>
        </w:rPr>
      </w:pPr>
      <w:r>
        <w:rPr>
          <w:rFonts w:hint="eastAsia" w:ascii="宋体" w:hAnsi="宋体"/>
          <w:szCs w:val="24"/>
        </w:rPr>
        <w:t xml:space="preserve">（4）安排相关工作人员协助采购人完成中药饮片验收、入库等工作。 </w:t>
      </w:r>
    </w:p>
    <w:p w14:paraId="6AF6C8B2">
      <w:pPr>
        <w:autoSpaceDE w:val="0"/>
        <w:autoSpaceDN w:val="0"/>
        <w:ind w:firstLine="480" w:firstLineChars="200"/>
        <w:rPr>
          <w:rFonts w:hint="eastAsia" w:ascii="宋体" w:hAnsi="宋体"/>
          <w:szCs w:val="24"/>
        </w:rPr>
      </w:pPr>
      <w:r>
        <w:rPr>
          <w:rFonts w:hint="eastAsia" w:ascii="宋体" w:hAnsi="宋体"/>
          <w:szCs w:val="24"/>
        </w:rPr>
        <w:t xml:space="preserve">（5）中标人调配好的中药饮片、煎煮汤液由中标人直接送到采购人各院区或患者指定地方。 </w:t>
      </w:r>
    </w:p>
    <w:p w14:paraId="20BAEFEE">
      <w:pPr>
        <w:autoSpaceDE w:val="0"/>
        <w:autoSpaceDN w:val="0"/>
        <w:ind w:firstLine="480" w:firstLineChars="200"/>
        <w:rPr>
          <w:rFonts w:hint="eastAsia" w:ascii="宋体" w:hAnsi="宋体"/>
          <w:szCs w:val="24"/>
        </w:rPr>
      </w:pPr>
      <w:r>
        <w:rPr>
          <w:rFonts w:hint="eastAsia" w:ascii="宋体" w:hAnsi="宋体"/>
          <w:szCs w:val="24"/>
        </w:rPr>
        <w:t xml:space="preserve">（6）中标人所使用的中药饮片原则上不得超过生产日期1年，外包装为1公斤。 </w:t>
      </w:r>
    </w:p>
    <w:p w14:paraId="7160E078">
      <w:pPr>
        <w:autoSpaceDE w:val="0"/>
        <w:autoSpaceDN w:val="0"/>
        <w:ind w:firstLine="480" w:firstLineChars="200"/>
        <w:rPr>
          <w:rFonts w:hint="eastAsia" w:ascii="宋体" w:hAnsi="宋体"/>
          <w:szCs w:val="24"/>
        </w:rPr>
      </w:pPr>
      <w:r>
        <w:rPr>
          <w:rFonts w:hint="eastAsia" w:ascii="宋体" w:hAnsi="宋体"/>
          <w:szCs w:val="24"/>
        </w:rPr>
        <w:t xml:space="preserve">4.其他要求： </w:t>
      </w:r>
    </w:p>
    <w:p w14:paraId="1ECBC62C">
      <w:pPr>
        <w:autoSpaceDE w:val="0"/>
        <w:autoSpaceDN w:val="0"/>
        <w:ind w:firstLine="480" w:firstLineChars="200"/>
        <w:rPr>
          <w:rFonts w:hint="eastAsia" w:ascii="宋体" w:hAnsi="宋体"/>
          <w:szCs w:val="24"/>
        </w:rPr>
      </w:pPr>
      <w:r>
        <w:rPr>
          <w:rFonts w:hint="eastAsia" w:ascii="宋体" w:hAnsi="宋体"/>
          <w:szCs w:val="24"/>
        </w:rPr>
        <w:t xml:space="preserve">（1）中标人在项目运营中需严格按照《中华人民共和国药品管理法》等相关法律法规及行业的各项规定，依法生产、经营。 </w:t>
      </w:r>
    </w:p>
    <w:p w14:paraId="3EB9B808">
      <w:pPr>
        <w:autoSpaceDE w:val="0"/>
        <w:autoSpaceDN w:val="0"/>
        <w:ind w:firstLine="480" w:firstLineChars="200"/>
        <w:rPr>
          <w:rFonts w:hint="eastAsia" w:ascii="宋体" w:hAnsi="宋体"/>
          <w:szCs w:val="24"/>
        </w:rPr>
      </w:pPr>
      <w:r>
        <w:rPr>
          <w:rFonts w:hint="eastAsia" w:ascii="宋体" w:hAnsi="宋体"/>
          <w:szCs w:val="24"/>
        </w:rPr>
        <w:t xml:space="preserve">（2）中标人应严格按照其在签订合同后5个工作日内向采购人递交备案的自身的产品执行的质量标准进行配送。 </w:t>
      </w:r>
    </w:p>
    <w:p w14:paraId="281660CE">
      <w:pPr>
        <w:autoSpaceDE w:val="0"/>
        <w:autoSpaceDN w:val="0"/>
        <w:ind w:firstLine="480" w:firstLineChars="200"/>
        <w:rPr>
          <w:rFonts w:hint="eastAsia" w:ascii="宋体" w:hAnsi="宋体"/>
          <w:szCs w:val="24"/>
        </w:rPr>
      </w:pPr>
      <w:r>
        <w:rPr>
          <w:rFonts w:hint="eastAsia" w:ascii="宋体" w:hAnsi="宋体"/>
          <w:szCs w:val="24"/>
        </w:rPr>
        <w:t>（3）中标人具有保证中药饮片、中药煎煮药液质量的各项管理制度，并严格按相关管理制度进行日常流程管理。采购人有权随时对中标人抽查检验，并派出专人监督。</w:t>
      </w:r>
    </w:p>
    <w:p w14:paraId="23EC38F5">
      <w:pPr>
        <w:autoSpaceDE w:val="0"/>
        <w:autoSpaceDN w:val="0"/>
        <w:ind w:firstLine="480" w:firstLineChars="200"/>
        <w:rPr>
          <w:rFonts w:hint="eastAsia" w:ascii="宋体" w:hAnsi="宋体"/>
          <w:szCs w:val="24"/>
        </w:rPr>
      </w:pPr>
      <w:r>
        <w:rPr>
          <w:rFonts w:hint="eastAsia" w:ascii="宋体" w:hAnsi="宋体"/>
          <w:szCs w:val="24"/>
        </w:rPr>
        <w:t xml:space="preserve">（4）中标人须承诺合同期内在无不可抗力因素影响的情况下，能持续提供中药饮片配送、中药煎煮和中药代配服务，不得随意中断。 </w:t>
      </w:r>
    </w:p>
    <w:p w14:paraId="14A72242">
      <w:pPr>
        <w:autoSpaceDE w:val="0"/>
        <w:autoSpaceDN w:val="0"/>
        <w:ind w:firstLine="480" w:firstLineChars="200"/>
        <w:rPr>
          <w:rFonts w:hint="eastAsia" w:ascii="宋体" w:hAnsi="宋体"/>
          <w:szCs w:val="24"/>
        </w:rPr>
      </w:pPr>
      <w:r>
        <w:rPr>
          <w:rFonts w:hint="eastAsia" w:ascii="宋体" w:hAnsi="宋体"/>
          <w:szCs w:val="24"/>
        </w:rPr>
        <w:t xml:space="preserve">（5）签订合同后10个工作日内，中标人须按照项目招标文件附件1的中药饮片配送服务清单所列的全部中药饮片品种提供符合项目要求的样品（投标时已提供的品种除外）给采购人留样备查。中标人在配送中药饮片前，应对中药饮片的外观质量、规格、数量等进行准确和全面的检验。采购人在接收中药饮片时，应对中药饮片进行验货确认。验收应在采购人和中标人双方共同参加下进行。验收合格的，采购人进行入库。验收不合格的，如发现与留样样品不相符的、或对药品品种、质量、数量等有异议时，采购人有权拒绝接收并通知中标人。中标人应在48小时内进行更换、补充，并不得影响采购人的临床用药。如造成缺药的，中标人应承担违约责任，采购人有权对中标人提出警告并责令整改甚至终止合同，并有权根据实际情况向其他供应商进行采购。 </w:t>
      </w:r>
    </w:p>
    <w:p w14:paraId="4A931BCA">
      <w:pPr>
        <w:autoSpaceDE w:val="0"/>
        <w:autoSpaceDN w:val="0"/>
        <w:ind w:firstLine="480" w:firstLineChars="200"/>
        <w:rPr>
          <w:rFonts w:hint="eastAsia" w:ascii="宋体" w:hAnsi="宋体"/>
          <w:szCs w:val="24"/>
        </w:rPr>
      </w:pPr>
      <w:r>
        <w:rPr>
          <w:rFonts w:hint="eastAsia" w:ascii="宋体" w:hAnsi="宋体"/>
          <w:szCs w:val="24"/>
        </w:rPr>
        <w:t xml:space="preserve">（6）若采购人或患者在验收时发现中药饮片或煎煮汤液存在破损、数量差错、配送错误等问题，采购人或患者有权拒收，中标人须负责无条件退换；若因服务质量造成患者进行投诉、信访，由中标人承担一切责任并负责解决。中标人提供客服电话，接受患者咨询，及时与患者沟通，解决患者问题。 </w:t>
      </w:r>
    </w:p>
    <w:p w14:paraId="78917CEA">
      <w:pPr>
        <w:autoSpaceDE w:val="0"/>
        <w:autoSpaceDN w:val="0"/>
        <w:ind w:firstLine="480" w:firstLineChars="200"/>
        <w:rPr>
          <w:rFonts w:hint="eastAsia" w:ascii="宋体" w:hAnsi="宋体"/>
          <w:szCs w:val="24"/>
        </w:rPr>
      </w:pPr>
      <w:r>
        <w:rPr>
          <w:rFonts w:hint="eastAsia" w:ascii="宋体" w:hAnsi="宋体"/>
          <w:szCs w:val="24"/>
        </w:rPr>
        <w:t xml:space="preserve">（7）如果采购人在临床使用中发现中药饮片或煎煮的药液不符合质量要求（含出现严重的不良反应）时，需要进行质量检验，则由采购人委托采购人所在地药检部门进行质量检验。并及时以书面形式把需质量检验的中药饮片和煎煮药液情况通知中标人，无论是否存在质量问题，检验费用均由中标人承担，如果确实存在质量问题则中标人还需承担因此产生的经济和法律责任；并且中标人应在48小时内对存在质量问题的中药饮片和煎煮的药液进行更换、补充，并不得影响采购人的临床用药。否则采购人有权终止合同并要求中标人赔偿损失。 </w:t>
      </w:r>
    </w:p>
    <w:p w14:paraId="0AB17B78">
      <w:pPr>
        <w:autoSpaceDE w:val="0"/>
        <w:autoSpaceDN w:val="0"/>
        <w:ind w:firstLine="480" w:firstLineChars="200"/>
        <w:rPr>
          <w:rFonts w:hint="eastAsia" w:ascii="宋体" w:hAnsi="宋体"/>
          <w:szCs w:val="24"/>
        </w:rPr>
      </w:pPr>
      <w:r>
        <w:rPr>
          <w:rFonts w:hint="eastAsia" w:ascii="宋体" w:hAnsi="宋体"/>
          <w:szCs w:val="24"/>
        </w:rPr>
        <w:t xml:space="preserve">（8）服务期内中药饮片或煎煮药液出现质量问题（包装、标签、等级、内在质量问题等），中标人必须无条件收回并更换合格的中药饮片或煎煮药液。如因药监部门抽检出现中药饮片或煎煮药液质量问题，中标人必须承担相应的经济和法律责任；如因中药饮片或煎煮药液质量问题引起药政管理方面的问题，由中标人负连带责任；如因中药饮片或煎煮药液质量引起医疗事故或纠纷，中标人必须负全部责任并承担全部费用。如出现如上所述情形，采购人有权终止合同，并要求中标人赔偿损失。 </w:t>
      </w:r>
    </w:p>
    <w:p w14:paraId="07B57FDB">
      <w:pPr>
        <w:autoSpaceDE w:val="0"/>
        <w:autoSpaceDN w:val="0"/>
        <w:ind w:firstLine="480" w:firstLineChars="200"/>
        <w:rPr>
          <w:rFonts w:hint="eastAsia" w:ascii="宋体" w:hAnsi="宋体"/>
          <w:szCs w:val="24"/>
        </w:rPr>
      </w:pPr>
      <w:r>
        <w:rPr>
          <w:rFonts w:hint="eastAsia" w:ascii="宋体" w:hAnsi="宋体"/>
          <w:szCs w:val="24"/>
        </w:rPr>
        <w:t>（9）采购人每季度对中标人的中药饮片配送情况进行一次评估（详见</w:t>
      </w:r>
      <w:bookmarkStart w:id="24" w:name="OLE_LINK55"/>
      <w:bookmarkStart w:id="25" w:name="OLE_LINK50"/>
      <w:r>
        <w:rPr>
          <w:rFonts w:hint="eastAsia" w:ascii="宋体" w:hAnsi="宋体"/>
          <w:szCs w:val="24"/>
        </w:rPr>
        <w:t>《中药饮片配送公司服务质量评价表》</w:t>
      </w:r>
      <w:bookmarkEnd w:id="24"/>
      <w:bookmarkEnd w:id="25"/>
      <w:r>
        <w:rPr>
          <w:rFonts w:hint="eastAsia" w:ascii="宋体" w:hAnsi="宋体"/>
          <w:szCs w:val="24"/>
        </w:rPr>
        <w:t xml:space="preserve">），若评估结果为不合格，则采购人以书面形式通知中标人进行整改；若第二次出现评估结果为不合格则视为考核不达标，采购人有权终止合同。 </w:t>
      </w:r>
    </w:p>
    <w:p w14:paraId="4027B42F">
      <w:pPr>
        <w:autoSpaceDE w:val="0"/>
        <w:autoSpaceDN w:val="0"/>
        <w:ind w:firstLine="480" w:firstLineChars="200"/>
        <w:rPr>
          <w:rFonts w:hint="eastAsia" w:ascii="宋体" w:hAnsi="宋体"/>
          <w:szCs w:val="24"/>
        </w:rPr>
      </w:pPr>
      <w:r>
        <w:rPr>
          <w:rFonts w:hint="eastAsia" w:ascii="宋体" w:hAnsi="宋体"/>
          <w:szCs w:val="24"/>
        </w:rPr>
        <w:t xml:space="preserve">（10）服务期内如遇国家法律法规或上级政策变动（例如中药饮片集采产生品种变动的情况等）而终止本项目或停止本项目《中药饮片配送服务清单》某部分内容采购的，中标人须无条件服从，且在过渡期间应继续向采购人配送，确保采购人的正常运营，采购人将不承担任何责任。 </w:t>
      </w:r>
    </w:p>
    <w:p w14:paraId="73DCB9DA">
      <w:pPr>
        <w:autoSpaceDE w:val="0"/>
        <w:autoSpaceDN w:val="0"/>
        <w:ind w:firstLine="480" w:firstLineChars="200"/>
        <w:rPr>
          <w:rFonts w:hint="eastAsia" w:ascii="宋体" w:hAnsi="宋体"/>
          <w:szCs w:val="24"/>
        </w:rPr>
      </w:pPr>
      <w:r>
        <w:rPr>
          <w:rFonts w:hint="eastAsia" w:ascii="宋体" w:hAnsi="宋体"/>
          <w:szCs w:val="24"/>
        </w:rPr>
        <w:t xml:space="preserve">（11）服务期内，中标人企业名称、法人等信息变更后，需在10个工作日内向采购人办理备案手续。逾期未办理备案的，采购人有权暂停采购或终止合同。 </w:t>
      </w:r>
    </w:p>
    <w:p w14:paraId="12E6C0C5">
      <w:pPr>
        <w:autoSpaceDE w:val="0"/>
        <w:autoSpaceDN w:val="0"/>
        <w:ind w:firstLine="480" w:firstLineChars="200"/>
        <w:rPr>
          <w:rFonts w:hint="eastAsia" w:ascii="宋体" w:hAnsi="宋体"/>
          <w:szCs w:val="24"/>
        </w:rPr>
      </w:pPr>
      <w:r>
        <w:rPr>
          <w:rFonts w:hint="eastAsia" w:ascii="宋体" w:hAnsi="宋体"/>
          <w:szCs w:val="24"/>
        </w:rPr>
        <w:t xml:space="preserve">（12）中标人不得以任何借口（如无货，采购量少等）不执行采购人药品采购计划，如确实无法执行时，需向采购人提供无法供应货物说明并视为无法供应此品种。同时，可按下述两种方法之一执行： </w:t>
      </w:r>
    </w:p>
    <w:p w14:paraId="0B7D6B48">
      <w:pPr>
        <w:autoSpaceDE w:val="0"/>
        <w:autoSpaceDN w:val="0"/>
        <w:ind w:firstLine="480" w:firstLineChars="200"/>
        <w:rPr>
          <w:rFonts w:hint="eastAsia" w:ascii="宋体" w:hAnsi="宋体"/>
          <w:szCs w:val="24"/>
        </w:rPr>
      </w:pPr>
      <w:r>
        <w:rPr>
          <w:rFonts w:hint="eastAsia" w:ascii="宋体" w:hAnsi="宋体"/>
          <w:szCs w:val="24"/>
        </w:rPr>
        <w:t xml:space="preserve">①中标人自行向其他供应商采购该品种； </w:t>
      </w:r>
    </w:p>
    <w:p w14:paraId="205C0444">
      <w:pPr>
        <w:autoSpaceDE w:val="0"/>
        <w:autoSpaceDN w:val="0"/>
        <w:ind w:firstLine="480" w:firstLineChars="200"/>
        <w:rPr>
          <w:rFonts w:hint="eastAsia" w:ascii="宋体" w:hAnsi="宋体"/>
          <w:szCs w:val="24"/>
        </w:rPr>
      </w:pPr>
      <w:r>
        <w:rPr>
          <w:rFonts w:hint="eastAsia" w:ascii="宋体" w:hAnsi="宋体"/>
          <w:szCs w:val="24"/>
        </w:rPr>
        <w:t>②采购人有权向其他供应商采购该品种，并由中标人代为支付相应的采购货款（金额按中标人的合同价格或由中标人与其他供应商协商，从中标人的合同份额中进行扣减）。如中标人无法供应的品种超过目前供应品种的2%，视为中标人不具备合同履行能力，采购人有权终止合同。如因供货不及时而影响采购人临床抢救病人，采购人还将追究中标人连带责任。</w:t>
      </w:r>
    </w:p>
    <w:p w14:paraId="32E58ABD">
      <w:pPr>
        <w:autoSpaceDE w:val="0"/>
        <w:autoSpaceDN w:val="0"/>
        <w:ind w:firstLine="480" w:firstLineChars="200"/>
        <w:rPr>
          <w:rFonts w:ascii="宋体" w:hAnsi="宋体"/>
          <w:szCs w:val="24"/>
        </w:rPr>
      </w:pPr>
      <w:r>
        <w:rPr>
          <w:rFonts w:hint="eastAsia" w:ascii="宋体" w:hAnsi="宋体"/>
          <w:szCs w:val="24"/>
        </w:rPr>
        <w:t>（13）对于采购人列出的指定生产厂家的饮片，中标人必须配合采购该生产厂家品种，若中标人无法供应的，采购人有权向其他供应商采购该品种；集采中药饮片需先使用采购人报量内品种数量，且涉及这类品种的代煎、代配处方，中标人需以借药的方式向采购人按需提前借药后调剂处方，并配合采购人做好日常对账、盘点工作。</w:t>
      </w:r>
      <w:bookmarkEnd w:id="22"/>
      <w:bookmarkEnd w:id="23"/>
    </w:p>
    <w:p w14:paraId="26C545D6">
      <w:pPr>
        <w:autoSpaceDE w:val="0"/>
        <w:autoSpaceDN w:val="0"/>
        <w:ind w:firstLine="422" w:firstLineChars="200"/>
        <w:rPr>
          <w:rFonts w:ascii="宋体" w:hAnsi="宋体"/>
          <w:b/>
          <w:szCs w:val="24"/>
        </w:rPr>
      </w:pPr>
      <w:r>
        <w:rPr>
          <w:rFonts w:hint="eastAsia" w:ascii="宋体" w:hAnsi="宋体" w:cs="宋体"/>
          <w:b/>
          <w:sz w:val="21"/>
          <w:szCs w:val="21"/>
          <w:lang w:eastAsia="zh-Hans"/>
        </w:rPr>
        <w:t>★</w:t>
      </w:r>
      <w:r>
        <w:rPr>
          <w:rFonts w:hint="eastAsia" w:ascii="宋体" w:hAnsi="宋体"/>
          <w:b/>
          <w:szCs w:val="24"/>
        </w:rPr>
        <w:t>（五）售后服务</w:t>
      </w:r>
    </w:p>
    <w:p w14:paraId="0B5347E8">
      <w:pPr>
        <w:autoSpaceDE w:val="0"/>
        <w:autoSpaceDN w:val="0"/>
        <w:ind w:firstLine="480" w:firstLineChars="200"/>
        <w:rPr>
          <w:rFonts w:hint="eastAsia" w:ascii="宋体" w:hAnsi="宋体"/>
          <w:szCs w:val="24"/>
        </w:rPr>
      </w:pPr>
      <w:bookmarkStart w:id="26" w:name="OLE_LINK95"/>
      <w:bookmarkStart w:id="27" w:name="OLE_LINK96"/>
      <w:r>
        <w:rPr>
          <w:rFonts w:hint="eastAsia" w:ascii="宋体" w:hAnsi="宋体"/>
          <w:szCs w:val="24"/>
        </w:rPr>
        <w:t>1.在合同期内如因产品质量等原因出现异常情况，中标人应确保及时请厂家代表或专家到采购人处协助解决问题，一切费用由中标人负责承担。如采购人因此需要承担责任的，有权向中标人追偿及要求赔偿采购人由此造成的一切损失。</w:t>
      </w:r>
    </w:p>
    <w:p w14:paraId="4916B37C">
      <w:pPr>
        <w:autoSpaceDE w:val="0"/>
        <w:autoSpaceDN w:val="0"/>
        <w:ind w:firstLine="480" w:firstLineChars="200"/>
        <w:rPr>
          <w:rFonts w:hint="eastAsia" w:ascii="宋体" w:hAnsi="宋体"/>
          <w:szCs w:val="24"/>
        </w:rPr>
      </w:pPr>
      <w:r>
        <w:rPr>
          <w:rFonts w:hint="eastAsia" w:ascii="宋体" w:hAnsi="宋体"/>
          <w:szCs w:val="24"/>
        </w:rPr>
        <w:t>2.对于一些需要指导的新产品，保证做好相关培训工作，培训产生的费用由中标人负责。</w:t>
      </w:r>
    </w:p>
    <w:p w14:paraId="36F73C80">
      <w:pPr>
        <w:autoSpaceDE w:val="0"/>
        <w:autoSpaceDN w:val="0"/>
        <w:ind w:firstLine="480" w:firstLineChars="200"/>
        <w:rPr>
          <w:rFonts w:hint="eastAsia" w:ascii="宋体" w:hAnsi="宋体"/>
          <w:szCs w:val="24"/>
        </w:rPr>
      </w:pPr>
      <w:r>
        <w:rPr>
          <w:rFonts w:hint="eastAsia" w:ascii="宋体" w:hAnsi="宋体"/>
          <w:szCs w:val="24"/>
        </w:rPr>
        <w:t>3.发生一切质量问题（除患者自身保管不妥外），由中标人承担责任。</w:t>
      </w:r>
    </w:p>
    <w:p w14:paraId="6D92C2E5">
      <w:pPr>
        <w:autoSpaceDE w:val="0"/>
        <w:autoSpaceDN w:val="0"/>
        <w:ind w:firstLine="480" w:firstLineChars="200"/>
        <w:rPr>
          <w:rFonts w:hint="eastAsia" w:ascii="宋体" w:hAnsi="宋体"/>
          <w:szCs w:val="24"/>
        </w:rPr>
      </w:pPr>
      <w:r>
        <w:rPr>
          <w:rFonts w:hint="eastAsia" w:ascii="宋体" w:hAnsi="宋体"/>
          <w:szCs w:val="24"/>
        </w:rPr>
        <w:t>4.当中标人不能提供采购人所需品规或不能提供合格货物品种时，采购人保留向第三方采购的权利。</w:t>
      </w:r>
    </w:p>
    <w:p w14:paraId="3D75849B">
      <w:pPr>
        <w:autoSpaceDE w:val="0"/>
        <w:autoSpaceDN w:val="0"/>
        <w:ind w:firstLine="480" w:firstLineChars="200"/>
        <w:rPr>
          <w:rFonts w:hint="eastAsia" w:ascii="宋体" w:hAnsi="宋体"/>
          <w:szCs w:val="24"/>
        </w:rPr>
      </w:pPr>
      <w:r>
        <w:rPr>
          <w:rFonts w:hint="eastAsia" w:ascii="宋体" w:hAnsi="宋体"/>
          <w:szCs w:val="24"/>
        </w:rPr>
        <w:t>5.合同期内因中标人原因被取消服务资格的，采购人对此不作任何补偿。</w:t>
      </w:r>
    </w:p>
    <w:p w14:paraId="073C5720">
      <w:pPr>
        <w:autoSpaceDE w:val="0"/>
        <w:autoSpaceDN w:val="0"/>
        <w:ind w:firstLine="480" w:firstLineChars="200"/>
        <w:rPr>
          <w:rFonts w:hint="eastAsia" w:ascii="宋体" w:hAnsi="宋体"/>
          <w:szCs w:val="24"/>
        </w:rPr>
      </w:pPr>
      <w:r>
        <w:rPr>
          <w:rFonts w:hint="eastAsia" w:ascii="宋体" w:hAnsi="宋体"/>
          <w:szCs w:val="24"/>
        </w:rPr>
        <w:t>6.采购人每季度对中标人进行一次评估，若评估结果为不合格，则采购人以书面形式通知中标人进行整改；若第二次出现评估结果为不合格则视为考核不达标，采购人有权终止合同，由此产生的经济损失由中标人负担。（详见《中药饮片配送公司服务质量评价表》）。</w:t>
      </w:r>
      <w:bookmarkEnd w:id="26"/>
      <w:bookmarkEnd w:id="27"/>
    </w:p>
    <w:p w14:paraId="0DE6A6F6">
      <w:pPr>
        <w:autoSpaceDE w:val="0"/>
        <w:autoSpaceDN w:val="0"/>
        <w:ind w:firstLine="482" w:firstLineChars="200"/>
        <w:rPr>
          <w:rFonts w:hint="eastAsia" w:ascii="宋体" w:hAnsi="宋体"/>
          <w:b/>
          <w:szCs w:val="24"/>
        </w:rPr>
      </w:pPr>
      <w:bookmarkStart w:id="28" w:name="OLE_LINK57"/>
      <w:bookmarkStart w:id="29" w:name="OLE_LINK56"/>
      <w:r>
        <w:rPr>
          <w:rFonts w:ascii="宋体" w:hAnsi="宋体"/>
          <w:b/>
          <w:szCs w:val="24"/>
        </w:rPr>
        <w:t>（六）</w:t>
      </w:r>
      <w:r>
        <w:rPr>
          <w:rFonts w:hint="eastAsia" w:ascii="宋体" w:hAnsi="宋体"/>
          <w:b/>
          <w:szCs w:val="24"/>
        </w:rPr>
        <w:t>中药饮片配送公司服务质量评价表</w:t>
      </w:r>
    </w:p>
    <w:bookmarkEnd w:id="28"/>
    <w:bookmarkEnd w:id="29"/>
    <w:tbl>
      <w:tblPr>
        <w:tblStyle w:val="9"/>
        <w:tblW w:w="5000" w:type="pct"/>
        <w:tblInd w:w="0" w:type="dxa"/>
        <w:tblLayout w:type="autofit"/>
        <w:tblCellMar>
          <w:top w:w="0" w:type="dxa"/>
          <w:left w:w="108" w:type="dxa"/>
          <w:bottom w:w="0" w:type="dxa"/>
          <w:right w:w="108" w:type="dxa"/>
        </w:tblCellMar>
      </w:tblPr>
      <w:tblGrid>
        <w:gridCol w:w="1850"/>
        <w:gridCol w:w="1925"/>
        <w:gridCol w:w="1420"/>
        <w:gridCol w:w="4016"/>
        <w:gridCol w:w="845"/>
      </w:tblGrid>
      <w:tr w14:paraId="55F392F7">
        <w:tblPrEx>
          <w:tblCellMar>
            <w:top w:w="0" w:type="dxa"/>
            <w:left w:w="108" w:type="dxa"/>
            <w:bottom w:w="0" w:type="dxa"/>
            <w:right w:w="108" w:type="dxa"/>
          </w:tblCellMar>
        </w:tblPrEx>
        <w:trPr>
          <w:trHeight w:val="270" w:hRule="atLeast"/>
        </w:trPr>
        <w:tc>
          <w:tcPr>
            <w:tcW w:w="920" w:type="pct"/>
            <w:vMerge w:val="restart"/>
            <w:tcBorders>
              <w:top w:val="single" w:color="000000" w:sz="4" w:space="0"/>
              <w:left w:val="single" w:color="000000" w:sz="4" w:space="0"/>
              <w:bottom w:val="single" w:color="000000" w:sz="4" w:space="0"/>
              <w:right w:val="single" w:color="000000" w:sz="4" w:space="0"/>
            </w:tcBorders>
            <w:vAlign w:val="center"/>
          </w:tcPr>
          <w:p w14:paraId="7B984B55">
            <w:pPr>
              <w:widowControl/>
              <w:spacing w:line="300" w:lineRule="auto"/>
              <w:jc w:val="center"/>
              <w:textAlignment w:val="top"/>
              <w:rPr>
                <w:rFonts w:ascii="宋体" w:hAnsi="宋体" w:cs="宋体"/>
                <w:color w:val="000000"/>
                <w:szCs w:val="21"/>
              </w:rPr>
            </w:pPr>
            <w:r>
              <w:rPr>
                <w:rFonts w:hint="eastAsia" w:ascii="宋体" w:hAnsi="宋体" w:cs="宋体"/>
                <w:color w:val="000000"/>
                <w:kern w:val="0"/>
                <w:sz w:val="21"/>
                <w:szCs w:val="21"/>
                <w:lang w:bidi="ar"/>
              </w:rPr>
              <w:t>项   目</w:t>
            </w:r>
          </w:p>
        </w:tc>
        <w:tc>
          <w:tcPr>
            <w:tcW w:w="957" w:type="pct"/>
            <w:vMerge w:val="restart"/>
            <w:tcBorders>
              <w:top w:val="single" w:color="000000" w:sz="4" w:space="0"/>
              <w:left w:val="single" w:color="000000" w:sz="4" w:space="0"/>
              <w:bottom w:val="single" w:color="000000" w:sz="4" w:space="0"/>
              <w:right w:val="single" w:color="000000" w:sz="4" w:space="0"/>
            </w:tcBorders>
            <w:vAlign w:val="center"/>
          </w:tcPr>
          <w:p w14:paraId="5B2BB4D6">
            <w:pPr>
              <w:widowControl/>
              <w:spacing w:line="300" w:lineRule="auto"/>
              <w:jc w:val="center"/>
              <w:textAlignment w:val="top"/>
              <w:rPr>
                <w:rFonts w:ascii="宋体" w:hAnsi="宋体" w:cs="宋体"/>
                <w:color w:val="000000"/>
                <w:szCs w:val="21"/>
              </w:rPr>
            </w:pPr>
            <w:r>
              <w:rPr>
                <w:rFonts w:hint="eastAsia" w:ascii="宋体" w:hAnsi="宋体" w:cs="宋体"/>
                <w:color w:val="000000"/>
                <w:kern w:val="0"/>
                <w:sz w:val="21"/>
                <w:szCs w:val="21"/>
                <w:lang w:bidi="ar"/>
              </w:rPr>
              <w:t>评价内容</w:t>
            </w:r>
          </w:p>
        </w:tc>
        <w:tc>
          <w:tcPr>
            <w:tcW w:w="706" w:type="pct"/>
            <w:vMerge w:val="restart"/>
            <w:tcBorders>
              <w:top w:val="single" w:color="000000" w:sz="4" w:space="0"/>
              <w:left w:val="single" w:color="000000" w:sz="4" w:space="0"/>
              <w:bottom w:val="single" w:color="000000" w:sz="4" w:space="0"/>
              <w:right w:val="single" w:color="000000" w:sz="4" w:space="0"/>
            </w:tcBorders>
            <w:vAlign w:val="center"/>
          </w:tcPr>
          <w:p w14:paraId="12898F2B">
            <w:pPr>
              <w:widowControl/>
              <w:spacing w:line="300" w:lineRule="auto"/>
              <w:jc w:val="center"/>
              <w:textAlignment w:val="center"/>
              <w:rPr>
                <w:rFonts w:ascii="宋体" w:hAnsi="宋体" w:cs="宋体"/>
                <w:color w:val="000000"/>
                <w:szCs w:val="21"/>
              </w:rPr>
            </w:pPr>
            <w:r>
              <w:rPr>
                <w:rFonts w:hint="eastAsia" w:ascii="宋体" w:hAnsi="宋体" w:cs="宋体"/>
                <w:color w:val="000000"/>
                <w:kern w:val="0"/>
                <w:sz w:val="21"/>
                <w:szCs w:val="21"/>
                <w:lang w:bidi="ar"/>
              </w:rPr>
              <w:t>分值</w:t>
            </w:r>
          </w:p>
        </w:tc>
        <w:tc>
          <w:tcPr>
            <w:tcW w:w="1997" w:type="pct"/>
            <w:tcBorders>
              <w:top w:val="single" w:color="000000" w:sz="4" w:space="0"/>
              <w:left w:val="single" w:color="000000" w:sz="4" w:space="0"/>
              <w:bottom w:val="single" w:color="000000" w:sz="4" w:space="0"/>
              <w:right w:val="single" w:color="000000" w:sz="4" w:space="0"/>
            </w:tcBorders>
          </w:tcPr>
          <w:p w14:paraId="616563C4">
            <w:pPr>
              <w:widowControl/>
              <w:spacing w:line="300" w:lineRule="auto"/>
              <w:jc w:val="center"/>
              <w:textAlignment w:val="top"/>
              <w:rPr>
                <w:rFonts w:ascii="宋体" w:hAnsi="宋体" w:cs="宋体"/>
                <w:color w:val="000000"/>
                <w:szCs w:val="21"/>
              </w:rPr>
            </w:pPr>
            <w:r>
              <w:rPr>
                <w:rFonts w:hint="eastAsia" w:ascii="宋体" w:hAnsi="宋体" w:cs="宋体"/>
                <w:color w:val="000000"/>
                <w:kern w:val="0"/>
                <w:sz w:val="21"/>
                <w:szCs w:val="21"/>
                <w:lang w:bidi="ar"/>
              </w:rPr>
              <w:t>中药房评价标准</w:t>
            </w:r>
          </w:p>
        </w:tc>
        <w:tc>
          <w:tcPr>
            <w:tcW w:w="421" w:type="pct"/>
            <w:vMerge w:val="restart"/>
            <w:tcBorders>
              <w:top w:val="single" w:color="000000" w:sz="4" w:space="0"/>
              <w:left w:val="single" w:color="000000" w:sz="4" w:space="0"/>
              <w:bottom w:val="single" w:color="000000" w:sz="4" w:space="0"/>
              <w:right w:val="single" w:color="000000" w:sz="4" w:space="0"/>
            </w:tcBorders>
            <w:vAlign w:val="center"/>
          </w:tcPr>
          <w:p w14:paraId="33C039BA">
            <w:pPr>
              <w:widowControl/>
              <w:spacing w:line="300" w:lineRule="auto"/>
              <w:jc w:val="center"/>
              <w:textAlignment w:val="center"/>
              <w:rPr>
                <w:rFonts w:ascii="宋体" w:hAnsi="宋体" w:cs="宋体"/>
                <w:color w:val="000000"/>
                <w:szCs w:val="21"/>
              </w:rPr>
            </w:pPr>
            <w:r>
              <w:rPr>
                <w:rFonts w:hint="eastAsia" w:ascii="宋体" w:hAnsi="宋体" w:cs="宋体"/>
                <w:color w:val="000000"/>
                <w:kern w:val="0"/>
                <w:sz w:val="21"/>
                <w:szCs w:val="21"/>
                <w:lang w:bidi="ar"/>
              </w:rPr>
              <w:t>评分</w:t>
            </w:r>
          </w:p>
        </w:tc>
      </w:tr>
      <w:tr w14:paraId="193DA6CD">
        <w:tblPrEx>
          <w:tblCellMar>
            <w:top w:w="0" w:type="dxa"/>
            <w:left w:w="108" w:type="dxa"/>
            <w:bottom w:w="0" w:type="dxa"/>
            <w:right w:w="108" w:type="dxa"/>
          </w:tblCellMar>
        </w:tblPrEx>
        <w:trPr>
          <w:trHeight w:val="270" w:hRule="atLeast"/>
        </w:trPr>
        <w:tc>
          <w:tcPr>
            <w:tcW w:w="920" w:type="pct"/>
            <w:vMerge w:val="continue"/>
            <w:tcBorders>
              <w:top w:val="single" w:color="000000" w:sz="4" w:space="0"/>
              <w:left w:val="single" w:color="000000" w:sz="4" w:space="0"/>
              <w:bottom w:val="single" w:color="000000" w:sz="4" w:space="0"/>
              <w:right w:val="single" w:color="000000" w:sz="4" w:space="0"/>
            </w:tcBorders>
          </w:tcPr>
          <w:p w14:paraId="14DC4E0A">
            <w:pPr>
              <w:spacing w:line="300" w:lineRule="auto"/>
              <w:jc w:val="center"/>
              <w:rPr>
                <w:rFonts w:ascii="宋体" w:hAnsi="宋体" w:cs="宋体"/>
                <w:color w:val="000000"/>
                <w:szCs w:val="21"/>
              </w:rPr>
            </w:pPr>
          </w:p>
        </w:tc>
        <w:tc>
          <w:tcPr>
            <w:tcW w:w="957" w:type="pct"/>
            <w:vMerge w:val="continue"/>
            <w:tcBorders>
              <w:top w:val="single" w:color="000000" w:sz="4" w:space="0"/>
              <w:left w:val="single" w:color="000000" w:sz="4" w:space="0"/>
              <w:bottom w:val="single" w:color="000000" w:sz="4" w:space="0"/>
              <w:right w:val="single" w:color="000000" w:sz="4" w:space="0"/>
            </w:tcBorders>
          </w:tcPr>
          <w:p w14:paraId="4A860D94">
            <w:pPr>
              <w:spacing w:line="300" w:lineRule="auto"/>
              <w:jc w:val="center"/>
              <w:rPr>
                <w:rFonts w:ascii="宋体" w:hAnsi="宋体" w:cs="宋体"/>
                <w:color w:val="000000"/>
                <w:szCs w:val="21"/>
              </w:rPr>
            </w:pPr>
          </w:p>
        </w:tc>
        <w:tc>
          <w:tcPr>
            <w:tcW w:w="706" w:type="pct"/>
            <w:vMerge w:val="continue"/>
            <w:tcBorders>
              <w:top w:val="single" w:color="000000" w:sz="4" w:space="0"/>
              <w:left w:val="single" w:color="000000" w:sz="4" w:space="0"/>
              <w:bottom w:val="single" w:color="000000" w:sz="4" w:space="0"/>
              <w:right w:val="single" w:color="000000" w:sz="4" w:space="0"/>
            </w:tcBorders>
            <w:vAlign w:val="center"/>
          </w:tcPr>
          <w:p w14:paraId="4E53B6E1">
            <w:pPr>
              <w:spacing w:line="300" w:lineRule="auto"/>
              <w:jc w:val="center"/>
              <w:rPr>
                <w:rFonts w:ascii="宋体" w:hAnsi="宋体" w:cs="宋体"/>
                <w:color w:val="000000"/>
                <w:szCs w:val="21"/>
              </w:rPr>
            </w:pPr>
          </w:p>
        </w:tc>
        <w:tc>
          <w:tcPr>
            <w:tcW w:w="1997" w:type="pct"/>
            <w:tcBorders>
              <w:top w:val="single" w:color="000000" w:sz="4" w:space="0"/>
              <w:left w:val="single" w:color="000000" w:sz="4" w:space="0"/>
              <w:bottom w:val="single" w:color="000000" w:sz="4" w:space="0"/>
              <w:right w:val="single" w:color="000000" w:sz="4" w:space="0"/>
            </w:tcBorders>
            <w:vAlign w:val="center"/>
          </w:tcPr>
          <w:p w14:paraId="46B2E165">
            <w:pPr>
              <w:widowControl/>
              <w:spacing w:line="300" w:lineRule="auto"/>
              <w:jc w:val="center"/>
              <w:textAlignment w:val="top"/>
              <w:rPr>
                <w:rFonts w:ascii="宋体" w:hAnsi="宋体" w:cs="宋体"/>
                <w:color w:val="000000"/>
                <w:szCs w:val="21"/>
              </w:rPr>
            </w:pPr>
            <w:r>
              <w:rPr>
                <w:rFonts w:hint="eastAsia" w:ascii="宋体" w:hAnsi="宋体" w:cs="宋体"/>
                <w:color w:val="000000"/>
                <w:kern w:val="0"/>
                <w:sz w:val="21"/>
                <w:szCs w:val="21"/>
                <w:lang w:bidi="ar"/>
              </w:rPr>
              <w:t>减分项直至减至0分</w:t>
            </w:r>
          </w:p>
        </w:tc>
        <w:tc>
          <w:tcPr>
            <w:tcW w:w="421" w:type="pct"/>
            <w:vMerge w:val="continue"/>
            <w:tcBorders>
              <w:top w:val="single" w:color="000000" w:sz="4" w:space="0"/>
              <w:left w:val="single" w:color="000000" w:sz="4" w:space="0"/>
              <w:bottom w:val="single" w:color="000000" w:sz="4" w:space="0"/>
              <w:right w:val="single" w:color="000000" w:sz="4" w:space="0"/>
            </w:tcBorders>
            <w:vAlign w:val="center"/>
          </w:tcPr>
          <w:p w14:paraId="0B42050C">
            <w:pPr>
              <w:spacing w:line="300" w:lineRule="auto"/>
              <w:jc w:val="center"/>
              <w:rPr>
                <w:rFonts w:ascii="宋体" w:hAnsi="宋体" w:cs="宋体"/>
                <w:color w:val="000000"/>
                <w:szCs w:val="21"/>
              </w:rPr>
            </w:pPr>
          </w:p>
        </w:tc>
      </w:tr>
      <w:tr w14:paraId="233D6D4F">
        <w:tblPrEx>
          <w:tblCellMar>
            <w:top w:w="0" w:type="dxa"/>
            <w:left w:w="108" w:type="dxa"/>
            <w:bottom w:w="0" w:type="dxa"/>
            <w:right w:w="108" w:type="dxa"/>
          </w:tblCellMar>
        </w:tblPrEx>
        <w:trPr>
          <w:trHeight w:val="480" w:hRule="atLeast"/>
        </w:trPr>
        <w:tc>
          <w:tcPr>
            <w:tcW w:w="9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D7F7E7">
            <w:pPr>
              <w:widowControl/>
              <w:spacing w:line="300" w:lineRule="auto"/>
              <w:jc w:val="center"/>
              <w:textAlignment w:val="center"/>
              <w:rPr>
                <w:rFonts w:ascii="宋体" w:hAnsi="宋体" w:cs="宋体"/>
                <w:color w:val="000000"/>
                <w:szCs w:val="21"/>
              </w:rPr>
            </w:pPr>
            <w:r>
              <w:rPr>
                <w:rFonts w:hint="eastAsia" w:ascii="宋体" w:hAnsi="宋体" w:cs="宋体"/>
                <w:color w:val="000000"/>
                <w:kern w:val="0"/>
                <w:sz w:val="21"/>
                <w:szCs w:val="21"/>
                <w:lang w:bidi="ar"/>
              </w:rPr>
              <w:t>配送质量（40分）</w:t>
            </w:r>
          </w:p>
        </w:tc>
        <w:tc>
          <w:tcPr>
            <w:tcW w:w="9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4A4936">
            <w:pPr>
              <w:widowControl/>
              <w:spacing w:line="300" w:lineRule="auto"/>
              <w:jc w:val="both"/>
              <w:textAlignment w:val="top"/>
              <w:rPr>
                <w:rFonts w:ascii="宋体" w:hAnsi="宋体" w:cs="宋体"/>
                <w:color w:val="000000"/>
                <w:szCs w:val="21"/>
              </w:rPr>
            </w:pPr>
            <w:r>
              <w:rPr>
                <w:rFonts w:hint="eastAsia" w:ascii="宋体" w:hAnsi="宋体" w:cs="宋体"/>
                <w:color w:val="000000"/>
                <w:kern w:val="0"/>
                <w:sz w:val="21"/>
                <w:szCs w:val="21"/>
                <w:lang w:bidi="ar"/>
              </w:rPr>
              <w:t>速度</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B886CC">
            <w:pPr>
              <w:widowControl/>
              <w:spacing w:line="300" w:lineRule="auto"/>
              <w:jc w:val="center"/>
              <w:textAlignment w:val="center"/>
              <w:rPr>
                <w:rFonts w:ascii="宋体" w:hAnsi="宋体" w:cs="宋体"/>
                <w:color w:val="000000"/>
                <w:szCs w:val="21"/>
              </w:rPr>
            </w:pPr>
            <w:r>
              <w:rPr>
                <w:rFonts w:hint="eastAsia" w:ascii="宋体" w:hAnsi="宋体" w:cs="宋体"/>
                <w:color w:val="000000"/>
                <w:kern w:val="0"/>
                <w:sz w:val="21"/>
                <w:szCs w:val="21"/>
                <w:lang w:bidi="ar"/>
              </w:rPr>
              <w:t>5分</w:t>
            </w:r>
          </w:p>
        </w:tc>
        <w:tc>
          <w:tcPr>
            <w:tcW w:w="1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D11AF2">
            <w:pPr>
              <w:widowControl/>
              <w:spacing w:line="300" w:lineRule="auto"/>
              <w:jc w:val="both"/>
              <w:textAlignment w:val="top"/>
              <w:rPr>
                <w:rFonts w:ascii="宋体" w:hAnsi="宋体" w:cs="宋体"/>
                <w:color w:val="000000"/>
                <w:szCs w:val="21"/>
              </w:rPr>
            </w:pPr>
            <w:r>
              <w:rPr>
                <w:rFonts w:hint="eastAsia" w:ascii="宋体" w:hAnsi="宋体" w:cs="宋体"/>
                <w:color w:val="000000"/>
                <w:kern w:val="0"/>
                <w:sz w:val="21"/>
                <w:szCs w:val="21"/>
                <w:lang w:bidi="ar"/>
              </w:rPr>
              <w:t>计划发出后药品按约定时间送达5分； 迟1日,减1分。</w:t>
            </w:r>
          </w:p>
        </w:tc>
        <w:tc>
          <w:tcPr>
            <w:tcW w:w="421" w:type="pct"/>
            <w:tcBorders>
              <w:top w:val="single" w:color="000000" w:sz="4" w:space="0"/>
              <w:left w:val="single" w:color="000000" w:sz="4" w:space="0"/>
              <w:bottom w:val="single" w:color="000000" w:sz="4" w:space="0"/>
              <w:right w:val="single" w:color="000000" w:sz="4" w:space="0"/>
            </w:tcBorders>
            <w:noWrap/>
            <w:vAlign w:val="center"/>
          </w:tcPr>
          <w:p w14:paraId="614BEE19">
            <w:pPr>
              <w:spacing w:line="300" w:lineRule="auto"/>
              <w:rPr>
                <w:rFonts w:ascii="宋体" w:hAnsi="宋体" w:cs="宋体"/>
                <w:color w:val="000000"/>
                <w:szCs w:val="21"/>
              </w:rPr>
            </w:pPr>
          </w:p>
        </w:tc>
      </w:tr>
      <w:tr w14:paraId="007E9E9B">
        <w:tblPrEx>
          <w:tblCellMar>
            <w:top w:w="0" w:type="dxa"/>
            <w:left w:w="108" w:type="dxa"/>
            <w:bottom w:w="0" w:type="dxa"/>
            <w:right w:w="108" w:type="dxa"/>
          </w:tblCellMar>
        </w:tblPrEx>
        <w:trPr>
          <w:trHeight w:val="1040" w:hRule="atLeast"/>
        </w:trPr>
        <w:tc>
          <w:tcPr>
            <w:tcW w:w="920" w:type="pct"/>
            <w:vMerge w:val="continue"/>
            <w:tcBorders>
              <w:top w:val="single" w:color="000000" w:sz="4" w:space="0"/>
              <w:left w:val="single" w:color="000000" w:sz="4" w:space="0"/>
              <w:bottom w:val="single" w:color="000000" w:sz="4" w:space="0"/>
              <w:right w:val="single" w:color="000000" w:sz="4" w:space="0"/>
            </w:tcBorders>
            <w:vAlign w:val="center"/>
          </w:tcPr>
          <w:p w14:paraId="7A3AAAFE">
            <w:pPr>
              <w:spacing w:line="300" w:lineRule="auto"/>
              <w:jc w:val="center"/>
              <w:rPr>
                <w:rFonts w:ascii="宋体" w:hAnsi="宋体" w:cs="宋体"/>
                <w:color w:val="000000"/>
                <w:szCs w:val="21"/>
              </w:rPr>
            </w:pPr>
          </w:p>
        </w:tc>
        <w:tc>
          <w:tcPr>
            <w:tcW w:w="957" w:type="pct"/>
            <w:tcBorders>
              <w:top w:val="single" w:color="000000" w:sz="4" w:space="0"/>
              <w:left w:val="single" w:color="000000" w:sz="4" w:space="0"/>
              <w:bottom w:val="single" w:color="000000" w:sz="4" w:space="0"/>
              <w:right w:val="single" w:color="000000" w:sz="4" w:space="0"/>
            </w:tcBorders>
            <w:vAlign w:val="center"/>
          </w:tcPr>
          <w:p w14:paraId="3C4A7E90">
            <w:pPr>
              <w:widowControl/>
              <w:spacing w:line="300" w:lineRule="auto"/>
              <w:jc w:val="both"/>
              <w:textAlignment w:val="top"/>
              <w:rPr>
                <w:rFonts w:ascii="宋体" w:hAnsi="宋体" w:cs="宋体"/>
                <w:color w:val="000000"/>
                <w:szCs w:val="21"/>
              </w:rPr>
            </w:pPr>
            <w:r>
              <w:rPr>
                <w:rFonts w:hint="eastAsia" w:ascii="宋体" w:hAnsi="宋体" w:cs="宋体"/>
                <w:color w:val="000000"/>
                <w:kern w:val="0"/>
                <w:sz w:val="21"/>
                <w:szCs w:val="21"/>
                <w:lang w:bidi="ar"/>
              </w:rPr>
              <w:t>计划品种数量</w:t>
            </w:r>
          </w:p>
        </w:tc>
        <w:tc>
          <w:tcPr>
            <w:tcW w:w="706" w:type="pct"/>
            <w:tcBorders>
              <w:top w:val="single" w:color="000000" w:sz="4" w:space="0"/>
              <w:left w:val="single" w:color="000000" w:sz="4" w:space="0"/>
              <w:bottom w:val="single" w:color="000000" w:sz="4" w:space="0"/>
              <w:right w:val="single" w:color="000000" w:sz="4" w:space="0"/>
            </w:tcBorders>
            <w:vAlign w:val="center"/>
          </w:tcPr>
          <w:p w14:paraId="2690706F">
            <w:pPr>
              <w:widowControl/>
              <w:spacing w:line="300" w:lineRule="auto"/>
              <w:jc w:val="center"/>
              <w:textAlignment w:val="center"/>
              <w:rPr>
                <w:rFonts w:ascii="宋体" w:hAnsi="宋体" w:cs="宋体"/>
                <w:color w:val="000000"/>
                <w:szCs w:val="21"/>
              </w:rPr>
            </w:pPr>
            <w:r>
              <w:rPr>
                <w:rFonts w:hint="eastAsia" w:ascii="宋体" w:hAnsi="宋体" w:cs="宋体"/>
                <w:color w:val="000000"/>
                <w:kern w:val="0"/>
                <w:sz w:val="21"/>
                <w:szCs w:val="21"/>
                <w:lang w:bidi="ar"/>
              </w:rPr>
              <w:t>5分</w:t>
            </w:r>
          </w:p>
        </w:tc>
        <w:tc>
          <w:tcPr>
            <w:tcW w:w="1997" w:type="pct"/>
            <w:tcBorders>
              <w:top w:val="single" w:color="000000" w:sz="4" w:space="0"/>
              <w:left w:val="single" w:color="000000" w:sz="4" w:space="0"/>
              <w:bottom w:val="single" w:color="000000" w:sz="4" w:space="0"/>
              <w:right w:val="single" w:color="000000" w:sz="4" w:space="0"/>
            </w:tcBorders>
            <w:vAlign w:val="center"/>
          </w:tcPr>
          <w:p w14:paraId="2DB64A68">
            <w:pPr>
              <w:widowControl/>
              <w:spacing w:line="300" w:lineRule="auto"/>
              <w:jc w:val="both"/>
              <w:textAlignment w:val="top"/>
              <w:rPr>
                <w:rFonts w:ascii="宋体" w:hAnsi="宋体" w:cs="宋体"/>
                <w:color w:val="000000"/>
                <w:szCs w:val="21"/>
              </w:rPr>
            </w:pPr>
            <w:r>
              <w:rPr>
                <w:rFonts w:hint="eastAsia" w:ascii="宋体" w:hAnsi="宋体" w:cs="宋体"/>
                <w:color w:val="000000"/>
                <w:kern w:val="0"/>
                <w:sz w:val="21"/>
                <w:szCs w:val="21"/>
                <w:lang w:bidi="ar"/>
              </w:rPr>
              <w:t>1、药品与计划数量相符，5分；2、错1种（若计划品规超过30种，每错3种），减1分</w:t>
            </w:r>
          </w:p>
        </w:tc>
        <w:tc>
          <w:tcPr>
            <w:tcW w:w="421" w:type="pct"/>
            <w:tcBorders>
              <w:top w:val="single" w:color="000000" w:sz="4" w:space="0"/>
              <w:left w:val="single" w:color="000000" w:sz="4" w:space="0"/>
              <w:bottom w:val="single" w:color="000000" w:sz="4" w:space="0"/>
              <w:right w:val="single" w:color="000000" w:sz="4" w:space="0"/>
            </w:tcBorders>
            <w:noWrap/>
            <w:vAlign w:val="center"/>
          </w:tcPr>
          <w:p w14:paraId="296CC62A">
            <w:pPr>
              <w:spacing w:line="300" w:lineRule="auto"/>
              <w:rPr>
                <w:rFonts w:ascii="宋体" w:hAnsi="宋体" w:cs="宋体"/>
                <w:color w:val="000000"/>
                <w:szCs w:val="21"/>
              </w:rPr>
            </w:pPr>
          </w:p>
        </w:tc>
      </w:tr>
      <w:tr w14:paraId="7CE62D98">
        <w:tblPrEx>
          <w:tblCellMar>
            <w:top w:w="0" w:type="dxa"/>
            <w:left w:w="108" w:type="dxa"/>
            <w:bottom w:w="0" w:type="dxa"/>
            <w:right w:w="108" w:type="dxa"/>
          </w:tblCellMar>
        </w:tblPrEx>
        <w:trPr>
          <w:trHeight w:val="480" w:hRule="atLeast"/>
        </w:trPr>
        <w:tc>
          <w:tcPr>
            <w:tcW w:w="920" w:type="pct"/>
            <w:vMerge w:val="continue"/>
            <w:tcBorders>
              <w:top w:val="single" w:color="000000" w:sz="4" w:space="0"/>
              <w:left w:val="single" w:color="000000" w:sz="4" w:space="0"/>
              <w:bottom w:val="single" w:color="000000" w:sz="4" w:space="0"/>
              <w:right w:val="single" w:color="000000" w:sz="4" w:space="0"/>
            </w:tcBorders>
            <w:vAlign w:val="center"/>
          </w:tcPr>
          <w:p w14:paraId="70855EC4">
            <w:pPr>
              <w:spacing w:line="300" w:lineRule="auto"/>
              <w:jc w:val="center"/>
              <w:rPr>
                <w:rFonts w:ascii="宋体" w:hAnsi="宋体" w:cs="宋体"/>
                <w:color w:val="000000"/>
                <w:szCs w:val="21"/>
              </w:rPr>
            </w:pPr>
          </w:p>
        </w:tc>
        <w:tc>
          <w:tcPr>
            <w:tcW w:w="957" w:type="pct"/>
            <w:tcBorders>
              <w:top w:val="single" w:color="000000" w:sz="4" w:space="0"/>
              <w:left w:val="single" w:color="000000" w:sz="4" w:space="0"/>
              <w:bottom w:val="single" w:color="000000" w:sz="4" w:space="0"/>
              <w:right w:val="single" w:color="000000" w:sz="4" w:space="0"/>
            </w:tcBorders>
            <w:vAlign w:val="center"/>
          </w:tcPr>
          <w:p w14:paraId="45C1739D">
            <w:pPr>
              <w:widowControl/>
              <w:spacing w:line="300" w:lineRule="auto"/>
              <w:jc w:val="both"/>
              <w:textAlignment w:val="top"/>
              <w:rPr>
                <w:rFonts w:ascii="宋体" w:hAnsi="宋体" w:cs="宋体"/>
                <w:color w:val="000000"/>
                <w:szCs w:val="21"/>
              </w:rPr>
            </w:pPr>
            <w:r>
              <w:rPr>
                <w:rFonts w:hint="eastAsia" w:ascii="宋体" w:hAnsi="宋体" w:cs="宋体"/>
                <w:color w:val="000000"/>
                <w:kern w:val="0"/>
                <w:sz w:val="21"/>
                <w:szCs w:val="21"/>
                <w:lang w:bidi="ar"/>
              </w:rPr>
              <w:t>计划品种准确度</w:t>
            </w:r>
          </w:p>
        </w:tc>
        <w:tc>
          <w:tcPr>
            <w:tcW w:w="706" w:type="pct"/>
            <w:tcBorders>
              <w:top w:val="single" w:color="000000" w:sz="4" w:space="0"/>
              <w:left w:val="single" w:color="000000" w:sz="4" w:space="0"/>
              <w:bottom w:val="single" w:color="000000" w:sz="4" w:space="0"/>
              <w:right w:val="single" w:color="000000" w:sz="4" w:space="0"/>
            </w:tcBorders>
            <w:vAlign w:val="center"/>
          </w:tcPr>
          <w:p w14:paraId="31081C59">
            <w:pPr>
              <w:widowControl/>
              <w:spacing w:line="300" w:lineRule="auto"/>
              <w:jc w:val="center"/>
              <w:textAlignment w:val="center"/>
              <w:rPr>
                <w:rFonts w:ascii="宋体" w:hAnsi="宋体" w:cs="宋体"/>
                <w:color w:val="000000"/>
                <w:szCs w:val="21"/>
              </w:rPr>
            </w:pPr>
            <w:r>
              <w:rPr>
                <w:rFonts w:hint="eastAsia" w:ascii="宋体" w:hAnsi="宋体" w:cs="宋体"/>
                <w:color w:val="000000"/>
                <w:kern w:val="0"/>
                <w:sz w:val="21"/>
                <w:szCs w:val="21"/>
                <w:lang w:bidi="ar"/>
              </w:rPr>
              <w:t>5分</w:t>
            </w:r>
          </w:p>
        </w:tc>
        <w:tc>
          <w:tcPr>
            <w:tcW w:w="1997" w:type="pct"/>
            <w:tcBorders>
              <w:top w:val="single" w:color="000000" w:sz="4" w:space="0"/>
              <w:left w:val="single" w:color="000000" w:sz="4" w:space="0"/>
              <w:bottom w:val="single" w:color="000000" w:sz="4" w:space="0"/>
              <w:right w:val="single" w:color="000000" w:sz="4" w:space="0"/>
            </w:tcBorders>
            <w:vAlign w:val="center"/>
          </w:tcPr>
          <w:p w14:paraId="3DFF2636">
            <w:pPr>
              <w:widowControl/>
              <w:spacing w:line="300" w:lineRule="auto"/>
              <w:jc w:val="both"/>
              <w:textAlignment w:val="top"/>
              <w:rPr>
                <w:rFonts w:ascii="宋体" w:hAnsi="宋体" w:cs="宋体"/>
                <w:color w:val="000000"/>
                <w:szCs w:val="21"/>
              </w:rPr>
            </w:pPr>
            <w:r>
              <w:rPr>
                <w:rFonts w:hint="eastAsia" w:ascii="宋体" w:hAnsi="宋体" w:cs="宋体"/>
                <w:color w:val="000000"/>
                <w:kern w:val="0"/>
                <w:sz w:val="21"/>
                <w:szCs w:val="21"/>
                <w:lang w:bidi="ar"/>
              </w:rPr>
              <w:t>品规配送准确，5分；错配1种减1分。</w:t>
            </w:r>
          </w:p>
        </w:tc>
        <w:tc>
          <w:tcPr>
            <w:tcW w:w="421" w:type="pct"/>
            <w:tcBorders>
              <w:top w:val="single" w:color="000000" w:sz="4" w:space="0"/>
              <w:left w:val="single" w:color="000000" w:sz="4" w:space="0"/>
              <w:bottom w:val="single" w:color="000000" w:sz="4" w:space="0"/>
              <w:right w:val="single" w:color="000000" w:sz="4" w:space="0"/>
            </w:tcBorders>
            <w:noWrap/>
            <w:vAlign w:val="center"/>
          </w:tcPr>
          <w:p w14:paraId="4A6D87A0">
            <w:pPr>
              <w:spacing w:line="300" w:lineRule="auto"/>
              <w:rPr>
                <w:rFonts w:ascii="宋体" w:hAnsi="宋体" w:cs="宋体"/>
                <w:color w:val="000000"/>
                <w:szCs w:val="21"/>
              </w:rPr>
            </w:pPr>
          </w:p>
        </w:tc>
      </w:tr>
      <w:tr w14:paraId="35C4A001">
        <w:tblPrEx>
          <w:tblCellMar>
            <w:top w:w="0" w:type="dxa"/>
            <w:left w:w="108" w:type="dxa"/>
            <w:bottom w:w="0" w:type="dxa"/>
            <w:right w:w="108" w:type="dxa"/>
          </w:tblCellMar>
        </w:tblPrEx>
        <w:trPr>
          <w:trHeight w:val="560" w:hRule="atLeast"/>
        </w:trPr>
        <w:tc>
          <w:tcPr>
            <w:tcW w:w="920" w:type="pct"/>
            <w:vMerge w:val="continue"/>
            <w:tcBorders>
              <w:top w:val="single" w:color="000000" w:sz="4" w:space="0"/>
              <w:left w:val="single" w:color="000000" w:sz="4" w:space="0"/>
              <w:bottom w:val="single" w:color="000000" w:sz="4" w:space="0"/>
              <w:right w:val="single" w:color="000000" w:sz="4" w:space="0"/>
            </w:tcBorders>
            <w:vAlign w:val="center"/>
          </w:tcPr>
          <w:p w14:paraId="74455EC2">
            <w:pPr>
              <w:spacing w:line="300" w:lineRule="auto"/>
              <w:jc w:val="center"/>
              <w:rPr>
                <w:rFonts w:ascii="宋体" w:hAnsi="宋体" w:cs="宋体"/>
                <w:color w:val="000000"/>
                <w:szCs w:val="21"/>
              </w:rPr>
            </w:pPr>
          </w:p>
        </w:tc>
        <w:tc>
          <w:tcPr>
            <w:tcW w:w="957" w:type="pct"/>
            <w:tcBorders>
              <w:top w:val="single" w:color="000000" w:sz="4" w:space="0"/>
              <w:left w:val="single" w:color="000000" w:sz="4" w:space="0"/>
              <w:bottom w:val="single" w:color="000000" w:sz="4" w:space="0"/>
              <w:right w:val="single" w:color="000000" w:sz="4" w:space="0"/>
            </w:tcBorders>
            <w:vAlign w:val="center"/>
          </w:tcPr>
          <w:p w14:paraId="30410938">
            <w:pPr>
              <w:widowControl/>
              <w:spacing w:line="300" w:lineRule="auto"/>
              <w:jc w:val="both"/>
              <w:textAlignment w:val="top"/>
              <w:rPr>
                <w:rFonts w:ascii="宋体" w:hAnsi="宋体" w:cs="宋体"/>
                <w:color w:val="000000"/>
                <w:szCs w:val="21"/>
              </w:rPr>
            </w:pPr>
            <w:r>
              <w:rPr>
                <w:rFonts w:hint="eastAsia" w:ascii="宋体" w:hAnsi="宋体" w:cs="宋体"/>
                <w:color w:val="000000"/>
                <w:kern w:val="0"/>
                <w:sz w:val="21"/>
                <w:szCs w:val="21"/>
                <w:lang w:bidi="ar"/>
              </w:rPr>
              <w:t>配送差错处理</w:t>
            </w:r>
          </w:p>
        </w:tc>
        <w:tc>
          <w:tcPr>
            <w:tcW w:w="706" w:type="pct"/>
            <w:tcBorders>
              <w:top w:val="single" w:color="000000" w:sz="4" w:space="0"/>
              <w:left w:val="single" w:color="000000" w:sz="4" w:space="0"/>
              <w:bottom w:val="single" w:color="000000" w:sz="4" w:space="0"/>
              <w:right w:val="single" w:color="000000" w:sz="4" w:space="0"/>
            </w:tcBorders>
            <w:vAlign w:val="center"/>
          </w:tcPr>
          <w:p w14:paraId="7DDA2DA5">
            <w:pPr>
              <w:widowControl/>
              <w:spacing w:line="300" w:lineRule="auto"/>
              <w:jc w:val="center"/>
              <w:textAlignment w:val="center"/>
              <w:rPr>
                <w:rFonts w:ascii="宋体" w:hAnsi="宋体" w:cs="宋体"/>
                <w:color w:val="000000"/>
                <w:szCs w:val="21"/>
              </w:rPr>
            </w:pPr>
            <w:r>
              <w:rPr>
                <w:rFonts w:hint="eastAsia" w:ascii="宋体" w:hAnsi="宋体" w:cs="宋体"/>
                <w:color w:val="000000"/>
                <w:kern w:val="0"/>
                <w:sz w:val="21"/>
                <w:szCs w:val="21"/>
                <w:lang w:bidi="ar"/>
              </w:rPr>
              <w:t>4分</w:t>
            </w:r>
          </w:p>
        </w:tc>
        <w:tc>
          <w:tcPr>
            <w:tcW w:w="1997" w:type="pct"/>
            <w:tcBorders>
              <w:top w:val="single" w:color="000000" w:sz="4" w:space="0"/>
              <w:left w:val="single" w:color="000000" w:sz="4" w:space="0"/>
              <w:bottom w:val="single" w:color="000000" w:sz="4" w:space="0"/>
              <w:right w:val="single" w:color="000000" w:sz="4" w:space="0"/>
            </w:tcBorders>
            <w:vAlign w:val="center"/>
          </w:tcPr>
          <w:p w14:paraId="52F3D0F6">
            <w:pPr>
              <w:widowControl/>
              <w:spacing w:line="300" w:lineRule="auto"/>
              <w:jc w:val="both"/>
              <w:textAlignment w:val="top"/>
              <w:rPr>
                <w:rFonts w:ascii="宋体" w:hAnsi="宋体" w:cs="宋体"/>
                <w:color w:val="000000"/>
                <w:szCs w:val="21"/>
              </w:rPr>
            </w:pPr>
            <w:r>
              <w:rPr>
                <w:rFonts w:hint="eastAsia" w:ascii="宋体" w:hAnsi="宋体" w:cs="宋体"/>
                <w:color w:val="000000"/>
                <w:kern w:val="0"/>
                <w:sz w:val="21"/>
                <w:szCs w:val="21"/>
                <w:lang w:bidi="ar"/>
              </w:rPr>
              <w:t>1、配送差错，当日解决4分，迟1天减1分。</w:t>
            </w:r>
          </w:p>
        </w:tc>
        <w:tc>
          <w:tcPr>
            <w:tcW w:w="421" w:type="pct"/>
            <w:tcBorders>
              <w:top w:val="single" w:color="000000" w:sz="4" w:space="0"/>
              <w:left w:val="single" w:color="000000" w:sz="4" w:space="0"/>
              <w:bottom w:val="single" w:color="000000" w:sz="4" w:space="0"/>
              <w:right w:val="single" w:color="000000" w:sz="4" w:space="0"/>
            </w:tcBorders>
            <w:noWrap/>
            <w:vAlign w:val="center"/>
          </w:tcPr>
          <w:p w14:paraId="2FB07BC0">
            <w:pPr>
              <w:spacing w:line="300" w:lineRule="auto"/>
              <w:rPr>
                <w:rFonts w:ascii="宋体" w:hAnsi="宋体" w:cs="宋体"/>
                <w:color w:val="000000"/>
                <w:szCs w:val="21"/>
              </w:rPr>
            </w:pPr>
          </w:p>
        </w:tc>
      </w:tr>
      <w:tr w14:paraId="4DD18A62">
        <w:tblPrEx>
          <w:tblCellMar>
            <w:top w:w="0" w:type="dxa"/>
            <w:left w:w="108" w:type="dxa"/>
            <w:bottom w:w="0" w:type="dxa"/>
            <w:right w:w="108" w:type="dxa"/>
          </w:tblCellMar>
        </w:tblPrEx>
        <w:trPr>
          <w:trHeight w:val="960" w:hRule="atLeast"/>
        </w:trPr>
        <w:tc>
          <w:tcPr>
            <w:tcW w:w="920" w:type="pct"/>
            <w:vMerge w:val="continue"/>
            <w:tcBorders>
              <w:top w:val="single" w:color="000000" w:sz="4" w:space="0"/>
              <w:left w:val="single" w:color="000000" w:sz="4" w:space="0"/>
              <w:bottom w:val="single" w:color="000000" w:sz="4" w:space="0"/>
              <w:right w:val="single" w:color="000000" w:sz="4" w:space="0"/>
            </w:tcBorders>
            <w:vAlign w:val="center"/>
          </w:tcPr>
          <w:p w14:paraId="7B2712F8">
            <w:pPr>
              <w:spacing w:line="300" w:lineRule="auto"/>
              <w:jc w:val="center"/>
              <w:rPr>
                <w:rFonts w:ascii="宋体" w:hAnsi="宋体" w:cs="宋体"/>
                <w:color w:val="000000"/>
                <w:szCs w:val="21"/>
              </w:rPr>
            </w:pPr>
          </w:p>
        </w:tc>
        <w:tc>
          <w:tcPr>
            <w:tcW w:w="957" w:type="pct"/>
            <w:tcBorders>
              <w:top w:val="single" w:color="000000" w:sz="4" w:space="0"/>
              <w:left w:val="single" w:color="000000" w:sz="4" w:space="0"/>
              <w:bottom w:val="single" w:color="000000" w:sz="4" w:space="0"/>
              <w:right w:val="single" w:color="000000" w:sz="4" w:space="0"/>
            </w:tcBorders>
            <w:vAlign w:val="center"/>
          </w:tcPr>
          <w:p w14:paraId="484B81A4">
            <w:pPr>
              <w:widowControl/>
              <w:spacing w:line="300" w:lineRule="auto"/>
              <w:jc w:val="both"/>
              <w:textAlignment w:val="top"/>
              <w:rPr>
                <w:rFonts w:ascii="宋体" w:hAnsi="宋体" w:cs="宋体"/>
                <w:color w:val="000000"/>
                <w:szCs w:val="21"/>
              </w:rPr>
            </w:pPr>
            <w:r>
              <w:rPr>
                <w:rFonts w:hint="eastAsia" w:ascii="宋体" w:hAnsi="宋体" w:cs="宋体"/>
                <w:color w:val="000000"/>
                <w:kern w:val="0"/>
                <w:sz w:val="21"/>
                <w:szCs w:val="21"/>
                <w:lang w:bidi="ar"/>
              </w:rPr>
              <w:t>准确度</w:t>
            </w:r>
          </w:p>
        </w:tc>
        <w:tc>
          <w:tcPr>
            <w:tcW w:w="706" w:type="pct"/>
            <w:tcBorders>
              <w:top w:val="single" w:color="000000" w:sz="4" w:space="0"/>
              <w:left w:val="single" w:color="000000" w:sz="4" w:space="0"/>
              <w:bottom w:val="single" w:color="000000" w:sz="4" w:space="0"/>
              <w:right w:val="single" w:color="000000" w:sz="4" w:space="0"/>
            </w:tcBorders>
            <w:vAlign w:val="center"/>
          </w:tcPr>
          <w:p w14:paraId="5B30E809">
            <w:pPr>
              <w:widowControl/>
              <w:spacing w:line="300" w:lineRule="auto"/>
              <w:jc w:val="center"/>
              <w:textAlignment w:val="center"/>
              <w:rPr>
                <w:rFonts w:ascii="宋体" w:hAnsi="宋体" w:cs="宋体"/>
                <w:color w:val="000000"/>
                <w:szCs w:val="21"/>
              </w:rPr>
            </w:pPr>
            <w:r>
              <w:rPr>
                <w:rFonts w:hint="eastAsia" w:ascii="宋体" w:hAnsi="宋体" w:cs="宋体"/>
                <w:color w:val="000000"/>
                <w:kern w:val="0"/>
                <w:sz w:val="21"/>
                <w:szCs w:val="21"/>
                <w:lang w:bidi="ar"/>
              </w:rPr>
              <w:t>4分</w:t>
            </w:r>
          </w:p>
        </w:tc>
        <w:tc>
          <w:tcPr>
            <w:tcW w:w="1997" w:type="pct"/>
            <w:tcBorders>
              <w:top w:val="single" w:color="000000" w:sz="4" w:space="0"/>
              <w:left w:val="single" w:color="000000" w:sz="4" w:space="0"/>
              <w:bottom w:val="single" w:color="000000" w:sz="4" w:space="0"/>
              <w:right w:val="single" w:color="000000" w:sz="4" w:space="0"/>
            </w:tcBorders>
            <w:vAlign w:val="center"/>
          </w:tcPr>
          <w:p w14:paraId="3B997681">
            <w:pPr>
              <w:widowControl/>
              <w:spacing w:line="300" w:lineRule="auto"/>
              <w:jc w:val="both"/>
              <w:textAlignment w:val="top"/>
              <w:rPr>
                <w:rFonts w:ascii="宋体" w:hAnsi="宋体" w:cs="宋体"/>
                <w:color w:val="000000"/>
                <w:szCs w:val="21"/>
              </w:rPr>
            </w:pPr>
            <w:r>
              <w:rPr>
                <w:rFonts w:hint="eastAsia" w:ascii="宋体" w:hAnsi="宋体" w:cs="宋体"/>
                <w:color w:val="000000"/>
                <w:kern w:val="0"/>
                <w:sz w:val="21"/>
                <w:szCs w:val="21"/>
                <w:lang w:bidi="ar"/>
              </w:rPr>
              <w:t>1、品种、数量补齐，4分； 2、补货每错1种（计划品种超过30种，每缺2种）减1分</w:t>
            </w:r>
          </w:p>
        </w:tc>
        <w:tc>
          <w:tcPr>
            <w:tcW w:w="421" w:type="pct"/>
            <w:tcBorders>
              <w:top w:val="single" w:color="000000" w:sz="4" w:space="0"/>
              <w:left w:val="single" w:color="000000" w:sz="4" w:space="0"/>
              <w:bottom w:val="single" w:color="000000" w:sz="4" w:space="0"/>
              <w:right w:val="single" w:color="000000" w:sz="4" w:space="0"/>
            </w:tcBorders>
            <w:noWrap/>
            <w:vAlign w:val="center"/>
          </w:tcPr>
          <w:p w14:paraId="419B7438">
            <w:pPr>
              <w:spacing w:line="300" w:lineRule="auto"/>
              <w:rPr>
                <w:rFonts w:ascii="宋体" w:hAnsi="宋体" w:cs="宋体"/>
                <w:color w:val="000000"/>
                <w:szCs w:val="21"/>
              </w:rPr>
            </w:pPr>
          </w:p>
        </w:tc>
      </w:tr>
      <w:tr w14:paraId="4CFBAC2A">
        <w:tblPrEx>
          <w:tblCellMar>
            <w:top w:w="0" w:type="dxa"/>
            <w:left w:w="108" w:type="dxa"/>
            <w:bottom w:w="0" w:type="dxa"/>
            <w:right w:w="108" w:type="dxa"/>
          </w:tblCellMar>
        </w:tblPrEx>
        <w:trPr>
          <w:trHeight w:val="780" w:hRule="atLeast"/>
        </w:trPr>
        <w:tc>
          <w:tcPr>
            <w:tcW w:w="920" w:type="pct"/>
            <w:vMerge w:val="continue"/>
            <w:tcBorders>
              <w:top w:val="single" w:color="000000" w:sz="4" w:space="0"/>
              <w:left w:val="single" w:color="000000" w:sz="4" w:space="0"/>
              <w:bottom w:val="single" w:color="000000" w:sz="4" w:space="0"/>
              <w:right w:val="single" w:color="000000" w:sz="4" w:space="0"/>
            </w:tcBorders>
            <w:vAlign w:val="center"/>
          </w:tcPr>
          <w:p w14:paraId="6F56F499">
            <w:pPr>
              <w:spacing w:line="300" w:lineRule="auto"/>
              <w:jc w:val="center"/>
              <w:rPr>
                <w:rFonts w:ascii="宋体" w:hAnsi="宋体" w:cs="宋体"/>
                <w:color w:val="000000"/>
                <w:szCs w:val="21"/>
              </w:rPr>
            </w:pPr>
          </w:p>
        </w:tc>
        <w:tc>
          <w:tcPr>
            <w:tcW w:w="957" w:type="pct"/>
            <w:tcBorders>
              <w:top w:val="single" w:color="000000" w:sz="4" w:space="0"/>
              <w:left w:val="single" w:color="000000" w:sz="4" w:space="0"/>
              <w:bottom w:val="single" w:color="000000" w:sz="4" w:space="0"/>
              <w:right w:val="single" w:color="000000" w:sz="4" w:space="0"/>
            </w:tcBorders>
            <w:vAlign w:val="center"/>
          </w:tcPr>
          <w:p w14:paraId="736AEB59">
            <w:pPr>
              <w:widowControl/>
              <w:spacing w:line="300" w:lineRule="auto"/>
              <w:jc w:val="both"/>
              <w:textAlignment w:val="top"/>
              <w:rPr>
                <w:rFonts w:ascii="宋体" w:hAnsi="宋体" w:cs="宋体"/>
                <w:color w:val="000000"/>
                <w:szCs w:val="21"/>
              </w:rPr>
            </w:pPr>
            <w:r>
              <w:rPr>
                <w:rFonts w:hint="eastAsia" w:ascii="宋体" w:hAnsi="宋体" w:cs="宋体"/>
                <w:color w:val="000000"/>
                <w:kern w:val="0"/>
                <w:sz w:val="21"/>
                <w:szCs w:val="21"/>
                <w:lang w:bidi="ar"/>
              </w:rPr>
              <w:t>缺货反馈质量</w:t>
            </w:r>
          </w:p>
        </w:tc>
        <w:tc>
          <w:tcPr>
            <w:tcW w:w="706" w:type="pct"/>
            <w:tcBorders>
              <w:top w:val="single" w:color="000000" w:sz="4" w:space="0"/>
              <w:left w:val="single" w:color="000000" w:sz="4" w:space="0"/>
              <w:bottom w:val="single" w:color="000000" w:sz="4" w:space="0"/>
              <w:right w:val="single" w:color="000000" w:sz="4" w:space="0"/>
            </w:tcBorders>
            <w:vAlign w:val="center"/>
          </w:tcPr>
          <w:p w14:paraId="31F489A2">
            <w:pPr>
              <w:widowControl/>
              <w:spacing w:line="300" w:lineRule="auto"/>
              <w:jc w:val="center"/>
              <w:textAlignment w:val="center"/>
              <w:rPr>
                <w:rFonts w:ascii="宋体" w:hAnsi="宋体" w:cs="宋体"/>
                <w:color w:val="000000"/>
                <w:szCs w:val="21"/>
              </w:rPr>
            </w:pPr>
            <w:r>
              <w:rPr>
                <w:rFonts w:hint="eastAsia" w:ascii="宋体" w:hAnsi="宋体" w:cs="宋体"/>
                <w:color w:val="000000"/>
                <w:kern w:val="0"/>
                <w:sz w:val="21"/>
                <w:szCs w:val="21"/>
                <w:lang w:bidi="ar"/>
              </w:rPr>
              <w:t>4分</w:t>
            </w:r>
          </w:p>
        </w:tc>
        <w:tc>
          <w:tcPr>
            <w:tcW w:w="1997" w:type="pct"/>
            <w:tcBorders>
              <w:top w:val="single" w:color="000000" w:sz="4" w:space="0"/>
              <w:left w:val="single" w:color="000000" w:sz="4" w:space="0"/>
              <w:bottom w:val="single" w:color="000000" w:sz="4" w:space="0"/>
              <w:right w:val="single" w:color="000000" w:sz="4" w:space="0"/>
            </w:tcBorders>
            <w:vAlign w:val="center"/>
          </w:tcPr>
          <w:p w14:paraId="757DBAF5">
            <w:pPr>
              <w:widowControl/>
              <w:spacing w:line="300" w:lineRule="auto"/>
              <w:jc w:val="both"/>
              <w:textAlignment w:val="top"/>
              <w:rPr>
                <w:rFonts w:ascii="宋体" w:hAnsi="宋体" w:cs="宋体"/>
                <w:color w:val="000000"/>
                <w:szCs w:val="21"/>
              </w:rPr>
            </w:pPr>
            <w:r>
              <w:rPr>
                <w:rFonts w:hint="eastAsia" w:ascii="宋体" w:hAnsi="宋体" w:cs="宋体"/>
                <w:color w:val="000000"/>
                <w:kern w:val="0"/>
                <w:sz w:val="21"/>
                <w:szCs w:val="21"/>
                <w:lang w:bidi="ar"/>
              </w:rPr>
              <w:t>计划接收后1天内反馈，4分，迟1天减1分。反馈准确，4分；错1种减1分</w:t>
            </w:r>
          </w:p>
        </w:tc>
        <w:tc>
          <w:tcPr>
            <w:tcW w:w="421" w:type="pct"/>
            <w:tcBorders>
              <w:top w:val="single" w:color="000000" w:sz="4" w:space="0"/>
              <w:left w:val="single" w:color="000000" w:sz="4" w:space="0"/>
              <w:bottom w:val="single" w:color="000000" w:sz="4" w:space="0"/>
              <w:right w:val="single" w:color="000000" w:sz="4" w:space="0"/>
            </w:tcBorders>
            <w:noWrap/>
            <w:vAlign w:val="center"/>
          </w:tcPr>
          <w:p w14:paraId="79315FDA">
            <w:pPr>
              <w:spacing w:line="300" w:lineRule="auto"/>
              <w:rPr>
                <w:rFonts w:ascii="宋体" w:hAnsi="宋体" w:cs="宋体"/>
                <w:color w:val="000000"/>
                <w:szCs w:val="21"/>
              </w:rPr>
            </w:pPr>
          </w:p>
        </w:tc>
      </w:tr>
      <w:tr w14:paraId="291F23E3">
        <w:tblPrEx>
          <w:tblCellMar>
            <w:top w:w="0" w:type="dxa"/>
            <w:left w:w="108" w:type="dxa"/>
            <w:bottom w:w="0" w:type="dxa"/>
            <w:right w:w="108" w:type="dxa"/>
          </w:tblCellMar>
        </w:tblPrEx>
        <w:trPr>
          <w:trHeight w:val="480" w:hRule="atLeast"/>
        </w:trPr>
        <w:tc>
          <w:tcPr>
            <w:tcW w:w="920" w:type="pct"/>
            <w:vMerge w:val="continue"/>
            <w:tcBorders>
              <w:top w:val="single" w:color="000000" w:sz="4" w:space="0"/>
              <w:left w:val="single" w:color="000000" w:sz="4" w:space="0"/>
              <w:bottom w:val="single" w:color="000000" w:sz="4" w:space="0"/>
              <w:right w:val="single" w:color="000000" w:sz="4" w:space="0"/>
            </w:tcBorders>
            <w:vAlign w:val="center"/>
          </w:tcPr>
          <w:p w14:paraId="7550AB36">
            <w:pPr>
              <w:spacing w:line="300" w:lineRule="auto"/>
              <w:jc w:val="center"/>
              <w:rPr>
                <w:rFonts w:ascii="宋体" w:hAnsi="宋体" w:cs="宋体"/>
                <w:color w:val="000000"/>
                <w:szCs w:val="21"/>
              </w:rPr>
            </w:pPr>
          </w:p>
        </w:tc>
        <w:tc>
          <w:tcPr>
            <w:tcW w:w="957" w:type="pct"/>
            <w:tcBorders>
              <w:top w:val="single" w:color="000000" w:sz="4" w:space="0"/>
              <w:left w:val="single" w:color="000000" w:sz="4" w:space="0"/>
              <w:bottom w:val="single" w:color="000000" w:sz="4" w:space="0"/>
              <w:right w:val="single" w:color="000000" w:sz="4" w:space="0"/>
            </w:tcBorders>
            <w:vAlign w:val="center"/>
          </w:tcPr>
          <w:p w14:paraId="63B6CC5F">
            <w:pPr>
              <w:widowControl/>
              <w:spacing w:line="300" w:lineRule="auto"/>
              <w:jc w:val="both"/>
              <w:textAlignment w:val="top"/>
              <w:rPr>
                <w:rFonts w:ascii="宋体" w:hAnsi="宋体" w:cs="宋体"/>
                <w:color w:val="000000"/>
                <w:szCs w:val="21"/>
              </w:rPr>
            </w:pPr>
            <w:r>
              <w:rPr>
                <w:rFonts w:hint="eastAsia" w:ascii="宋体" w:hAnsi="宋体" w:cs="宋体"/>
                <w:color w:val="000000"/>
                <w:kern w:val="0"/>
                <w:sz w:val="21"/>
                <w:szCs w:val="21"/>
                <w:lang w:bidi="ar"/>
              </w:rPr>
              <w:t>摆药质量</w:t>
            </w:r>
          </w:p>
        </w:tc>
        <w:tc>
          <w:tcPr>
            <w:tcW w:w="706" w:type="pct"/>
            <w:tcBorders>
              <w:top w:val="single" w:color="000000" w:sz="4" w:space="0"/>
              <w:left w:val="single" w:color="000000" w:sz="4" w:space="0"/>
              <w:bottom w:val="single" w:color="000000" w:sz="4" w:space="0"/>
              <w:right w:val="single" w:color="000000" w:sz="4" w:space="0"/>
            </w:tcBorders>
            <w:vAlign w:val="center"/>
          </w:tcPr>
          <w:p w14:paraId="57D181F0">
            <w:pPr>
              <w:widowControl/>
              <w:spacing w:line="300" w:lineRule="auto"/>
              <w:jc w:val="center"/>
              <w:textAlignment w:val="center"/>
              <w:rPr>
                <w:rFonts w:ascii="宋体" w:hAnsi="宋体" w:cs="宋体"/>
                <w:color w:val="000000"/>
                <w:szCs w:val="21"/>
              </w:rPr>
            </w:pPr>
            <w:r>
              <w:rPr>
                <w:rFonts w:hint="eastAsia" w:ascii="宋体" w:hAnsi="宋体" w:cs="宋体"/>
                <w:color w:val="000000"/>
                <w:kern w:val="0"/>
                <w:sz w:val="21"/>
                <w:szCs w:val="21"/>
                <w:lang w:bidi="ar"/>
              </w:rPr>
              <w:t>4分</w:t>
            </w:r>
          </w:p>
        </w:tc>
        <w:tc>
          <w:tcPr>
            <w:tcW w:w="1997" w:type="pct"/>
            <w:tcBorders>
              <w:top w:val="single" w:color="000000" w:sz="4" w:space="0"/>
              <w:left w:val="single" w:color="000000" w:sz="4" w:space="0"/>
              <w:bottom w:val="single" w:color="000000" w:sz="4" w:space="0"/>
              <w:right w:val="single" w:color="000000" w:sz="4" w:space="0"/>
            </w:tcBorders>
            <w:vAlign w:val="center"/>
          </w:tcPr>
          <w:p w14:paraId="6A679531">
            <w:pPr>
              <w:widowControl/>
              <w:spacing w:line="300" w:lineRule="auto"/>
              <w:jc w:val="both"/>
              <w:textAlignment w:val="top"/>
              <w:rPr>
                <w:rFonts w:ascii="宋体" w:hAnsi="宋体" w:cs="宋体"/>
                <w:color w:val="000000"/>
                <w:szCs w:val="21"/>
              </w:rPr>
            </w:pPr>
            <w:r>
              <w:rPr>
                <w:rFonts w:hint="eastAsia" w:ascii="宋体" w:hAnsi="宋体" w:cs="宋体"/>
                <w:color w:val="000000"/>
                <w:kern w:val="0"/>
                <w:sz w:val="21"/>
                <w:szCs w:val="21"/>
                <w:lang w:bidi="ar"/>
              </w:rPr>
              <w:t>送货员或摆药员摆药，协助验收</w:t>
            </w:r>
          </w:p>
        </w:tc>
        <w:tc>
          <w:tcPr>
            <w:tcW w:w="421" w:type="pct"/>
            <w:tcBorders>
              <w:top w:val="single" w:color="000000" w:sz="4" w:space="0"/>
              <w:left w:val="single" w:color="000000" w:sz="4" w:space="0"/>
              <w:bottom w:val="single" w:color="000000" w:sz="4" w:space="0"/>
              <w:right w:val="single" w:color="000000" w:sz="4" w:space="0"/>
            </w:tcBorders>
            <w:noWrap/>
            <w:vAlign w:val="center"/>
          </w:tcPr>
          <w:p w14:paraId="3CF07A9E">
            <w:pPr>
              <w:spacing w:line="300" w:lineRule="auto"/>
              <w:rPr>
                <w:rFonts w:ascii="宋体" w:hAnsi="宋体" w:cs="宋体"/>
                <w:color w:val="000000"/>
                <w:szCs w:val="21"/>
              </w:rPr>
            </w:pPr>
          </w:p>
        </w:tc>
      </w:tr>
      <w:tr w14:paraId="407BA949">
        <w:tblPrEx>
          <w:tblCellMar>
            <w:top w:w="0" w:type="dxa"/>
            <w:left w:w="108" w:type="dxa"/>
            <w:bottom w:w="0" w:type="dxa"/>
            <w:right w:w="108" w:type="dxa"/>
          </w:tblCellMar>
        </w:tblPrEx>
        <w:trPr>
          <w:trHeight w:val="2460" w:hRule="atLeast"/>
        </w:trPr>
        <w:tc>
          <w:tcPr>
            <w:tcW w:w="920" w:type="pct"/>
            <w:vMerge w:val="continue"/>
            <w:tcBorders>
              <w:top w:val="single" w:color="000000" w:sz="4" w:space="0"/>
              <w:left w:val="single" w:color="000000" w:sz="4" w:space="0"/>
              <w:bottom w:val="single" w:color="000000" w:sz="4" w:space="0"/>
              <w:right w:val="single" w:color="000000" w:sz="4" w:space="0"/>
            </w:tcBorders>
            <w:vAlign w:val="center"/>
          </w:tcPr>
          <w:p w14:paraId="2C892DC8">
            <w:pPr>
              <w:spacing w:line="300" w:lineRule="auto"/>
              <w:jc w:val="center"/>
              <w:rPr>
                <w:rFonts w:ascii="宋体" w:hAnsi="宋体" w:cs="宋体"/>
                <w:color w:val="000000"/>
                <w:szCs w:val="21"/>
              </w:rPr>
            </w:pPr>
          </w:p>
        </w:tc>
        <w:tc>
          <w:tcPr>
            <w:tcW w:w="957" w:type="pct"/>
            <w:tcBorders>
              <w:top w:val="single" w:color="000000" w:sz="4" w:space="0"/>
              <w:left w:val="single" w:color="000000" w:sz="4" w:space="0"/>
              <w:bottom w:val="single" w:color="000000" w:sz="4" w:space="0"/>
              <w:right w:val="single" w:color="000000" w:sz="4" w:space="0"/>
            </w:tcBorders>
            <w:vAlign w:val="center"/>
          </w:tcPr>
          <w:p w14:paraId="4881AF51">
            <w:pPr>
              <w:widowControl/>
              <w:spacing w:line="300" w:lineRule="auto"/>
              <w:jc w:val="both"/>
              <w:textAlignment w:val="top"/>
              <w:rPr>
                <w:rFonts w:ascii="宋体" w:hAnsi="宋体" w:cs="宋体"/>
                <w:color w:val="000000"/>
                <w:szCs w:val="21"/>
              </w:rPr>
            </w:pPr>
            <w:r>
              <w:rPr>
                <w:rFonts w:hint="eastAsia" w:ascii="宋体" w:hAnsi="宋体" w:cs="宋体"/>
                <w:color w:val="000000"/>
                <w:kern w:val="0"/>
                <w:sz w:val="21"/>
                <w:szCs w:val="21"/>
                <w:lang w:bidi="ar"/>
              </w:rPr>
              <w:t>发票送达</w:t>
            </w:r>
          </w:p>
        </w:tc>
        <w:tc>
          <w:tcPr>
            <w:tcW w:w="706" w:type="pct"/>
            <w:tcBorders>
              <w:top w:val="single" w:color="000000" w:sz="4" w:space="0"/>
              <w:left w:val="single" w:color="000000" w:sz="4" w:space="0"/>
              <w:bottom w:val="single" w:color="000000" w:sz="4" w:space="0"/>
              <w:right w:val="single" w:color="000000" w:sz="4" w:space="0"/>
            </w:tcBorders>
            <w:vAlign w:val="center"/>
          </w:tcPr>
          <w:p w14:paraId="53B03B72">
            <w:pPr>
              <w:widowControl/>
              <w:spacing w:line="300" w:lineRule="auto"/>
              <w:jc w:val="center"/>
              <w:textAlignment w:val="center"/>
              <w:rPr>
                <w:rFonts w:ascii="宋体" w:hAnsi="宋体" w:cs="宋体"/>
                <w:color w:val="000000"/>
                <w:szCs w:val="21"/>
              </w:rPr>
            </w:pPr>
            <w:r>
              <w:rPr>
                <w:rFonts w:hint="eastAsia" w:ascii="宋体" w:hAnsi="宋体" w:cs="宋体"/>
                <w:color w:val="000000"/>
                <w:kern w:val="0"/>
                <w:sz w:val="21"/>
                <w:szCs w:val="21"/>
                <w:lang w:bidi="ar"/>
              </w:rPr>
              <w:t>5分</w:t>
            </w:r>
          </w:p>
        </w:tc>
        <w:tc>
          <w:tcPr>
            <w:tcW w:w="1997" w:type="pct"/>
            <w:tcBorders>
              <w:top w:val="single" w:color="000000" w:sz="4" w:space="0"/>
              <w:left w:val="single" w:color="000000" w:sz="4" w:space="0"/>
              <w:bottom w:val="single" w:color="000000" w:sz="4" w:space="0"/>
              <w:right w:val="single" w:color="000000" w:sz="4" w:space="0"/>
            </w:tcBorders>
            <w:vAlign w:val="center"/>
          </w:tcPr>
          <w:p w14:paraId="184B3C17">
            <w:pPr>
              <w:widowControl/>
              <w:spacing w:line="300" w:lineRule="auto"/>
              <w:jc w:val="both"/>
              <w:textAlignment w:val="top"/>
              <w:rPr>
                <w:rFonts w:ascii="宋体" w:hAnsi="宋体" w:cs="宋体"/>
                <w:color w:val="000000"/>
                <w:szCs w:val="21"/>
              </w:rPr>
            </w:pPr>
            <w:r>
              <w:rPr>
                <w:rFonts w:hint="eastAsia" w:ascii="宋体" w:hAnsi="宋体" w:cs="宋体"/>
                <w:color w:val="000000"/>
                <w:kern w:val="0"/>
                <w:sz w:val="21"/>
                <w:szCs w:val="21"/>
                <w:lang w:bidi="ar"/>
              </w:rPr>
              <w:t>1、发票随货送，发票汇总表每月2号前准确送达，加1分（得6分），5号前准确（节假日不顺延）送达，5分。发票未随货送，每次扣1分。2、超过1天或出现1个问题，减1分。3、票据准确（单据、验收记录、送货单、药检报告等）1个差错扣0.5分，扣至零分。</w:t>
            </w:r>
          </w:p>
        </w:tc>
        <w:tc>
          <w:tcPr>
            <w:tcW w:w="421" w:type="pct"/>
            <w:tcBorders>
              <w:top w:val="single" w:color="000000" w:sz="4" w:space="0"/>
              <w:left w:val="single" w:color="000000" w:sz="4" w:space="0"/>
              <w:bottom w:val="single" w:color="000000" w:sz="4" w:space="0"/>
              <w:right w:val="single" w:color="000000" w:sz="4" w:space="0"/>
            </w:tcBorders>
            <w:noWrap/>
            <w:vAlign w:val="center"/>
          </w:tcPr>
          <w:p w14:paraId="69FF7AB1">
            <w:pPr>
              <w:spacing w:line="300" w:lineRule="auto"/>
              <w:rPr>
                <w:rFonts w:ascii="宋体" w:hAnsi="宋体" w:cs="宋体"/>
                <w:color w:val="000000"/>
                <w:szCs w:val="21"/>
              </w:rPr>
            </w:pPr>
          </w:p>
        </w:tc>
      </w:tr>
      <w:tr w14:paraId="358E9044">
        <w:tblPrEx>
          <w:tblCellMar>
            <w:top w:w="0" w:type="dxa"/>
            <w:left w:w="108" w:type="dxa"/>
            <w:bottom w:w="0" w:type="dxa"/>
            <w:right w:w="108" w:type="dxa"/>
          </w:tblCellMar>
        </w:tblPrEx>
        <w:trPr>
          <w:trHeight w:val="480" w:hRule="atLeast"/>
        </w:trPr>
        <w:tc>
          <w:tcPr>
            <w:tcW w:w="920" w:type="pct"/>
            <w:vMerge w:val="continue"/>
            <w:tcBorders>
              <w:top w:val="single" w:color="000000" w:sz="4" w:space="0"/>
              <w:left w:val="single" w:color="000000" w:sz="4" w:space="0"/>
              <w:bottom w:val="single" w:color="000000" w:sz="4" w:space="0"/>
              <w:right w:val="single" w:color="000000" w:sz="4" w:space="0"/>
            </w:tcBorders>
            <w:vAlign w:val="center"/>
          </w:tcPr>
          <w:p w14:paraId="399C823F">
            <w:pPr>
              <w:spacing w:line="300" w:lineRule="auto"/>
              <w:jc w:val="center"/>
              <w:rPr>
                <w:rFonts w:ascii="宋体" w:hAnsi="宋体" w:cs="宋体"/>
                <w:color w:val="000000"/>
                <w:szCs w:val="21"/>
              </w:rPr>
            </w:pPr>
          </w:p>
        </w:tc>
        <w:tc>
          <w:tcPr>
            <w:tcW w:w="957" w:type="pct"/>
            <w:tcBorders>
              <w:top w:val="single" w:color="000000" w:sz="4" w:space="0"/>
              <w:left w:val="single" w:color="000000" w:sz="4" w:space="0"/>
              <w:bottom w:val="single" w:color="000000" w:sz="4" w:space="0"/>
              <w:right w:val="single" w:color="000000" w:sz="4" w:space="0"/>
            </w:tcBorders>
            <w:noWrap/>
            <w:vAlign w:val="center"/>
          </w:tcPr>
          <w:p w14:paraId="3998DE8A">
            <w:pPr>
              <w:widowControl/>
              <w:spacing w:line="300" w:lineRule="auto"/>
              <w:jc w:val="both"/>
              <w:textAlignment w:val="center"/>
              <w:rPr>
                <w:rFonts w:ascii="宋体" w:hAnsi="宋体" w:cs="宋体"/>
                <w:color w:val="000000"/>
                <w:szCs w:val="21"/>
              </w:rPr>
            </w:pPr>
            <w:r>
              <w:rPr>
                <w:rFonts w:hint="eastAsia" w:ascii="宋体" w:hAnsi="宋体" w:cs="宋体"/>
                <w:color w:val="000000"/>
                <w:kern w:val="0"/>
                <w:sz w:val="21"/>
                <w:szCs w:val="21"/>
                <w:lang w:bidi="ar"/>
              </w:rPr>
              <w:t>服务态度</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1AE92DDC">
            <w:pPr>
              <w:widowControl/>
              <w:spacing w:line="300" w:lineRule="auto"/>
              <w:jc w:val="center"/>
              <w:textAlignment w:val="center"/>
              <w:rPr>
                <w:rFonts w:ascii="宋体" w:hAnsi="宋体" w:cs="宋体"/>
                <w:color w:val="000000"/>
                <w:szCs w:val="21"/>
              </w:rPr>
            </w:pPr>
            <w:r>
              <w:rPr>
                <w:rFonts w:hint="eastAsia" w:ascii="宋体" w:hAnsi="宋体" w:cs="宋体"/>
                <w:color w:val="000000"/>
                <w:kern w:val="0"/>
                <w:sz w:val="21"/>
                <w:szCs w:val="21"/>
                <w:lang w:bidi="ar"/>
              </w:rPr>
              <w:t>4分</w:t>
            </w:r>
          </w:p>
        </w:tc>
        <w:tc>
          <w:tcPr>
            <w:tcW w:w="1997" w:type="pct"/>
            <w:tcBorders>
              <w:top w:val="single" w:color="000000" w:sz="4" w:space="0"/>
              <w:left w:val="single" w:color="000000" w:sz="4" w:space="0"/>
              <w:bottom w:val="single" w:color="000000" w:sz="4" w:space="0"/>
              <w:right w:val="single" w:color="000000" w:sz="4" w:space="0"/>
            </w:tcBorders>
            <w:vAlign w:val="center"/>
          </w:tcPr>
          <w:p w14:paraId="42226309">
            <w:pPr>
              <w:widowControl/>
              <w:spacing w:line="300" w:lineRule="auto"/>
              <w:jc w:val="both"/>
              <w:textAlignment w:val="center"/>
              <w:rPr>
                <w:rFonts w:ascii="宋体" w:hAnsi="宋体" w:cs="宋体"/>
                <w:color w:val="000000"/>
                <w:szCs w:val="21"/>
              </w:rPr>
            </w:pPr>
            <w:r>
              <w:rPr>
                <w:rFonts w:hint="eastAsia" w:ascii="宋体" w:hAnsi="宋体" w:cs="宋体"/>
                <w:color w:val="000000"/>
                <w:kern w:val="0"/>
                <w:sz w:val="21"/>
                <w:szCs w:val="21"/>
                <w:lang w:bidi="ar"/>
              </w:rPr>
              <w:t>态度好沟通，4分；一般，2分；无法沟通不得分</w:t>
            </w:r>
          </w:p>
        </w:tc>
        <w:tc>
          <w:tcPr>
            <w:tcW w:w="421" w:type="pct"/>
            <w:tcBorders>
              <w:top w:val="single" w:color="000000" w:sz="4" w:space="0"/>
              <w:left w:val="single" w:color="000000" w:sz="4" w:space="0"/>
              <w:bottom w:val="single" w:color="000000" w:sz="4" w:space="0"/>
              <w:right w:val="single" w:color="000000" w:sz="4" w:space="0"/>
            </w:tcBorders>
            <w:noWrap/>
            <w:vAlign w:val="center"/>
          </w:tcPr>
          <w:p w14:paraId="04A2F908">
            <w:pPr>
              <w:spacing w:line="300" w:lineRule="auto"/>
              <w:rPr>
                <w:rFonts w:ascii="宋体" w:hAnsi="宋体" w:cs="宋体"/>
                <w:color w:val="000000"/>
                <w:szCs w:val="21"/>
              </w:rPr>
            </w:pPr>
          </w:p>
        </w:tc>
      </w:tr>
      <w:tr w14:paraId="55A96340">
        <w:tblPrEx>
          <w:tblCellMar>
            <w:top w:w="0" w:type="dxa"/>
            <w:left w:w="108" w:type="dxa"/>
            <w:bottom w:w="0" w:type="dxa"/>
            <w:right w:w="108" w:type="dxa"/>
          </w:tblCellMar>
        </w:tblPrEx>
        <w:trPr>
          <w:trHeight w:val="480" w:hRule="atLeast"/>
        </w:trPr>
        <w:tc>
          <w:tcPr>
            <w:tcW w:w="920" w:type="pct"/>
            <w:vMerge w:val="restart"/>
            <w:tcBorders>
              <w:top w:val="single" w:color="000000" w:sz="4" w:space="0"/>
              <w:left w:val="single" w:color="000000" w:sz="4" w:space="0"/>
              <w:bottom w:val="single" w:color="000000" w:sz="4" w:space="0"/>
              <w:right w:val="single" w:color="000000" w:sz="4" w:space="0"/>
            </w:tcBorders>
            <w:vAlign w:val="center"/>
          </w:tcPr>
          <w:p w14:paraId="3E24AC35">
            <w:pPr>
              <w:widowControl/>
              <w:spacing w:line="300" w:lineRule="auto"/>
              <w:jc w:val="center"/>
              <w:textAlignment w:val="center"/>
              <w:rPr>
                <w:ins w:id="0" w:author="YSy" w:date="2025-09-12T09:11:48Z"/>
                <w:rFonts w:hint="eastAsia" w:ascii="宋体" w:hAnsi="宋体" w:cs="宋体"/>
                <w:color w:val="000000"/>
                <w:kern w:val="0"/>
                <w:sz w:val="21"/>
                <w:szCs w:val="21"/>
                <w:lang w:bidi="ar"/>
              </w:rPr>
            </w:pPr>
            <w:r>
              <w:rPr>
                <w:rFonts w:hint="eastAsia" w:ascii="宋体" w:hAnsi="宋体" w:cs="宋体"/>
                <w:color w:val="000000"/>
                <w:kern w:val="0"/>
                <w:sz w:val="21"/>
                <w:szCs w:val="21"/>
                <w:lang w:bidi="ar"/>
              </w:rPr>
              <w:t>药品验收考核</w:t>
            </w:r>
          </w:p>
          <w:p w14:paraId="61FDFD1A">
            <w:pPr>
              <w:widowControl/>
              <w:spacing w:line="300" w:lineRule="auto"/>
              <w:jc w:val="center"/>
              <w:textAlignment w:val="center"/>
              <w:rPr>
                <w:rFonts w:ascii="宋体" w:hAnsi="宋体" w:cs="宋体"/>
                <w:color w:val="000000"/>
                <w:szCs w:val="21"/>
              </w:rPr>
            </w:pPr>
            <w:r>
              <w:rPr>
                <w:rFonts w:hint="eastAsia" w:ascii="宋体" w:hAnsi="宋体" w:cs="宋体"/>
                <w:color w:val="000000"/>
                <w:kern w:val="0"/>
                <w:sz w:val="21"/>
                <w:szCs w:val="21"/>
                <w:lang w:bidi="ar"/>
              </w:rPr>
              <w:t>（36分）</w:t>
            </w:r>
          </w:p>
        </w:tc>
        <w:tc>
          <w:tcPr>
            <w:tcW w:w="957" w:type="pct"/>
            <w:tcBorders>
              <w:top w:val="single" w:color="000000" w:sz="4" w:space="0"/>
              <w:left w:val="single" w:color="000000" w:sz="4" w:space="0"/>
              <w:bottom w:val="single" w:color="000000" w:sz="4" w:space="0"/>
              <w:right w:val="single" w:color="000000" w:sz="4" w:space="0"/>
            </w:tcBorders>
            <w:vAlign w:val="center"/>
          </w:tcPr>
          <w:p w14:paraId="71EB210C">
            <w:pPr>
              <w:widowControl/>
              <w:spacing w:line="300" w:lineRule="auto"/>
              <w:jc w:val="both"/>
              <w:textAlignment w:val="top"/>
              <w:rPr>
                <w:rFonts w:ascii="宋体" w:hAnsi="宋体" w:cs="宋体"/>
                <w:color w:val="000000"/>
                <w:szCs w:val="21"/>
              </w:rPr>
            </w:pPr>
            <w:r>
              <w:rPr>
                <w:rFonts w:hint="eastAsia" w:ascii="宋体" w:hAnsi="宋体" w:cs="宋体"/>
                <w:color w:val="000000"/>
                <w:kern w:val="0"/>
                <w:sz w:val="21"/>
                <w:szCs w:val="21"/>
                <w:lang w:bidi="ar"/>
              </w:rPr>
              <w:t>药品质量</w:t>
            </w:r>
          </w:p>
        </w:tc>
        <w:tc>
          <w:tcPr>
            <w:tcW w:w="706" w:type="pct"/>
            <w:tcBorders>
              <w:top w:val="single" w:color="000000" w:sz="4" w:space="0"/>
              <w:left w:val="single" w:color="000000" w:sz="4" w:space="0"/>
              <w:bottom w:val="single" w:color="000000" w:sz="4" w:space="0"/>
              <w:right w:val="single" w:color="000000" w:sz="4" w:space="0"/>
            </w:tcBorders>
            <w:vAlign w:val="center"/>
          </w:tcPr>
          <w:p w14:paraId="7CE9E3C8">
            <w:pPr>
              <w:widowControl/>
              <w:spacing w:line="300" w:lineRule="auto"/>
              <w:jc w:val="center"/>
              <w:textAlignment w:val="center"/>
              <w:rPr>
                <w:rFonts w:ascii="宋体" w:hAnsi="宋体" w:cs="宋体"/>
                <w:color w:val="000000"/>
                <w:szCs w:val="21"/>
              </w:rPr>
            </w:pPr>
            <w:r>
              <w:rPr>
                <w:rFonts w:hint="eastAsia" w:ascii="宋体" w:hAnsi="宋体" w:cs="宋体"/>
                <w:color w:val="000000"/>
                <w:kern w:val="0"/>
                <w:sz w:val="21"/>
                <w:szCs w:val="21"/>
                <w:lang w:bidi="ar"/>
              </w:rPr>
              <w:t>8分</w:t>
            </w:r>
          </w:p>
        </w:tc>
        <w:tc>
          <w:tcPr>
            <w:tcW w:w="1997" w:type="pct"/>
            <w:tcBorders>
              <w:top w:val="single" w:color="000000" w:sz="4" w:space="0"/>
              <w:left w:val="single" w:color="000000" w:sz="4" w:space="0"/>
              <w:bottom w:val="single" w:color="000000" w:sz="4" w:space="0"/>
              <w:right w:val="single" w:color="000000" w:sz="4" w:space="0"/>
            </w:tcBorders>
            <w:vAlign w:val="center"/>
          </w:tcPr>
          <w:p w14:paraId="60B9ECB4">
            <w:pPr>
              <w:widowControl/>
              <w:spacing w:line="300" w:lineRule="auto"/>
              <w:jc w:val="both"/>
              <w:textAlignment w:val="top"/>
              <w:rPr>
                <w:rFonts w:ascii="宋体" w:hAnsi="宋体" w:cs="宋体"/>
                <w:color w:val="000000"/>
                <w:szCs w:val="21"/>
              </w:rPr>
            </w:pPr>
            <w:r>
              <w:rPr>
                <w:rFonts w:hint="eastAsia" w:ascii="宋体" w:hAnsi="宋体" w:cs="宋体"/>
                <w:color w:val="000000"/>
                <w:kern w:val="0"/>
                <w:sz w:val="21"/>
                <w:szCs w:val="21"/>
                <w:lang w:bidi="ar"/>
              </w:rPr>
              <w:t>药品质量和包装均合格，8分。有1种问题减1分</w:t>
            </w:r>
          </w:p>
        </w:tc>
        <w:tc>
          <w:tcPr>
            <w:tcW w:w="421" w:type="pct"/>
            <w:tcBorders>
              <w:top w:val="single" w:color="000000" w:sz="4" w:space="0"/>
              <w:left w:val="single" w:color="000000" w:sz="4" w:space="0"/>
              <w:bottom w:val="single" w:color="000000" w:sz="4" w:space="0"/>
              <w:right w:val="single" w:color="000000" w:sz="4" w:space="0"/>
            </w:tcBorders>
            <w:noWrap/>
            <w:vAlign w:val="center"/>
          </w:tcPr>
          <w:p w14:paraId="06149634">
            <w:pPr>
              <w:spacing w:line="300" w:lineRule="auto"/>
              <w:rPr>
                <w:rFonts w:ascii="宋体" w:hAnsi="宋体" w:cs="宋体"/>
                <w:color w:val="000000"/>
                <w:szCs w:val="21"/>
              </w:rPr>
            </w:pPr>
          </w:p>
        </w:tc>
      </w:tr>
      <w:tr w14:paraId="308402AA">
        <w:tblPrEx>
          <w:tblCellMar>
            <w:top w:w="0" w:type="dxa"/>
            <w:left w:w="108" w:type="dxa"/>
            <w:bottom w:w="0" w:type="dxa"/>
            <w:right w:w="108" w:type="dxa"/>
          </w:tblCellMar>
        </w:tblPrEx>
        <w:trPr>
          <w:trHeight w:val="1200" w:hRule="atLeast"/>
        </w:trPr>
        <w:tc>
          <w:tcPr>
            <w:tcW w:w="920" w:type="pct"/>
            <w:vMerge w:val="continue"/>
            <w:tcBorders>
              <w:top w:val="single" w:color="000000" w:sz="4" w:space="0"/>
              <w:left w:val="single" w:color="000000" w:sz="4" w:space="0"/>
              <w:bottom w:val="single" w:color="000000" w:sz="4" w:space="0"/>
              <w:right w:val="single" w:color="000000" w:sz="4" w:space="0"/>
            </w:tcBorders>
            <w:vAlign w:val="center"/>
          </w:tcPr>
          <w:p w14:paraId="74D7B901">
            <w:pPr>
              <w:spacing w:line="300" w:lineRule="auto"/>
              <w:jc w:val="center"/>
              <w:rPr>
                <w:rFonts w:ascii="宋体" w:hAnsi="宋体" w:cs="宋体"/>
                <w:color w:val="000000"/>
                <w:szCs w:val="21"/>
              </w:rPr>
            </w:pPr>
          </w:p>
        </w:tc>
        <w:tc>
          <w:tcPr>
            <w:tcW w:w="957" w:type="pct"/>
            <w:tcBorders>
              <w:top w:val="single" w:color="000000" w:sz="4" w:space="0"/>
              <w:left w:val="single" w:color="000000" w:sz="4" w:space="0"/>
              <w:bottom w:val="single" w:color="000000" w:sz="4" w:space="0"/>
              <w:right w:val="single" w:color="000000" w:sz="4" w:space="0"/>
            </w:tcBorders>
            <w:vAlign w:val="center"/>
          </w:tcPr>
          <w:p w14:paraId="1D5CD0E9">
            <w:pPr>
              <w:widowControl/>
              <w:spacing w:line="300" w:lineRule="auto"/>
              <w:jc w:val="both"/>
              <w:textAlignment w:val="top"/>
              <w:rPr>
                <w:rFonts w:ascii="宋体" w:hAnsi="宋体" w:cs="宋体"/>
                <w:color w:val="000000"/>
                <w:szCs w:val="21"/>
              </w:rPr>
            </w:pPr>
            <w:r>
              <w:rPr>
                <w:rFonts w:hint="eastAsia" w:ascii="宋体" w:hAnsi="宋体" w:cs="宋体"/>
                <w:color w:val="000000"/>
                <w:kern w:val="0"/>
                <w:sz w:val="21"/>
                <w:szCs w:val="21"/>
                <w:lang w:bidi="ar"/>
              </w:rPr>
              <w:t>药品清单品种、数量、重量、批号等数据</w:t>
            </w:r>
          </w:p>
        </w:tc>
        <w:tc>
          <w:tcPr>
            <w:tcW w:w="706" w:type="pct"/>
            <w:tcBorders>
              <w:top w:val="single" w:color="000000" w:sz="4" w:space="0"/>
              <w:left w:val="single" w:color="000000" w:sz="4" w:space="0"/>
              <w:bottom w:val="single" w:color="000000" w:sz="4" w:space="0"/>
              <w:right w:val="single" w:color="000000" w:sz="4" w:space="0"/>
            </w:tcBorders>
            <w:vAlign w:val="center"/>
          </w:tcPr>
          <w:p w14:paraId="731954AE">
            <w:pPr>
              <w:widowControl/>
              <w:spacing w:line="300" w:lineRule="auto"/>
              <w:jc w:val="center"/>
              <w:textAlignment w:val="center"/>
              <w:rPr>
                <w:rFonts w:ascii="宋体" w:hAnsi="宋体" w:cs="宋体"/>
                <w:color w:val="000000"/>
                <w:szCs w:val="21"/>
              </w:rPr>
            </w:pPr>
            <w:r>
              <w:rPr>
                <w:rFonts w:hint="eastAsia" w:ascii="宋体" w:hAnsi="宋体" w:cs="宋体"/>
                <w:color w:val="000000"/>
                <w:kern w:val="0"/>
                <w:sz w:val="21"/>
                <w:szCs w:val="21"/>
                <w:lang w:bidi="ar"/>
              </w:rPr>
              <w:t>8分</w:t>
            </w:r>
          </w:p>
        </w:tc>
        <w:tc>
          <w:tcPr>
            <w:tcW w:w="1997" w:type="pct"/>
            <w:tcBorders>
              <w:top w:val="single" w:color="000000" w:sz="4" w:space="0"/>
              <w:left w:val="single" w:color="000000" w:sz="4" w:space="0"/>
              <w:bottom w:val="single" w:color="000000" w:sz="4" w:space="0"/>
              <w:right w:val="single" w:color="000000" w:sz="4" w:space="0"/>
            </w:tcBorders>
            <w:vAlign w:val="center"/>
          </w:tcPr>
          <w:p w14:paraId="58641ADD">
            <w:pPr>
              <w:widowControl/>
              <w:spacing w:line="300" w:lineRule="auto"/>
              <w:jc w:val="both"/>
              <w:textAlignment w:val="top"/>
              <w:rPr>
                <w:rFonts w:ascii="宋体" w:hAnsi="宋体" w:cs="宋体"/>
                <w:color w:val="000000"/>
                <w:szCs w:val="21"/>
              </w:rPr>
            </w:pPr>
            <w:r>
              <w:rPr>
                <w:rFonts w:hint="eastAsia" w:ascii="宋体" w:hAnsi="宋体" w:cs="宋体"/>
                <w:color w:val="000000"/>
                <w:kern w:val="0"/>
                <w:sz w:val="21"/>
                <w:szCs w:val="21"/>
                <w:lang w:bidi="ar"/>
              </w:rPr>
              <w:t>1、药品数据与销售单一致，药品称重无差异，8分；2、每错1种数据（计划品规超过30个时，每3个品种不一致）减1分</w:t>
            </w:r>
          </w:p>
        </w:tc>
        <w:tc>
          <w:tcPr>
            <w:tcW w:w="421" w:type="pct"/>
            <w:tcBorders>
              <w:top w:val="single" w:color="000000" w:sz="4" w:space="0"/>
              <w:left w:val="single" w:color="000000" w:sz="4" w:space="0"/>
              <w:bottom w:val="single" w:color="000000" w:sz="4" w:space="0"/>
              <w:right w:val="single" w:color="000000" w:sz="4" w:space="0"/>
            </w:tcBorders>
            <w:noWrap/>
            <w:vAlign w:val="center"/>
          </w:tcPr>
          <w:p w14:paraId="2AC2A213">
            <w:pPr>
              <w:spacing w:line="300" w:lineRule="auto"/>
              <w:rPr>
                <w:rFonts w:ascii="宋体" w:hAnsi="宋体" w:cs="宋体"/>
                <w:color w:val="000000"/>
                <w:szCs w:val="21"/>
              </w:rPr>
            </w:pPr>
          </w:p>
        </w:tc>
      </w:tr>
      <w:tr w14:paraId="335242E6">
        <w:tblPrEx>
          <w:tblCellMar>
            <w:top w:w="0" w:type="dxa"/>
            <w:left w:w="108" w:type="dxa"/>
            <w:bottom w:w="0" w:type="dxa"/>
            <w:right w:w="108" w:type="dxa"/>
          </w:tblCellMar>
        </w:tblPrEx>
        <w:trPr>
          <w:trHeight w:val="2200" w:hRule="atLeast"/>
        </w:trPr>
        <w:tc>
          <w:tcPr>
            <w:tcW w:w="920" w:type="pct"/>
            <w:vMerge w:val="continue"/>
            <w:tcBorders>
              <w:top w:val="single" w:color="000000" w:sz="4" w:space="0"/>
              <w:left w:val="single" w:color="000000" w:sz="4" w:space="0"/>
              <w:bottom w:val="single" w:color="000000" w:sz="4" w:space="0"/>
              <w:right w:val="single" w:color="000000" w:sz="4" w:space="0"/>
            </w:tcBorders>
            <w:vAlign w:val="center"/>
          </w:tcPr>
          <w:p w14:paraId="2838A230">
            <w:pPr>
              <w:spacing w:line="300" w:lineRule="auto"/>
              <w:jc w:val="center"/>
              <w:rPr>
                <w:rFonts w:ascii="宋体" w:hAnsi="宋体" w:cs="宋体"/>
                <w:color w:val="000000"/>
                <w:szCs w:val="21"/>
              </w:rPr>
            </w:pPr>
          </w:p>
        </w:tc>
        <w:tc>
          <w:tcPr>
            <w:tcW w:w="957" w:type="pct"/>
            <w:tcBorders>
              <w:top w:val="single" w:color="000000" w:sz="4" w:space="0"/>
              <w:left w:val="single" w:color="000000" w:sz="4" w:space="0"/>
              <w:bottom w:val="single" w:color="000000" w:sz="4" w:space="0"/>
              <w:right w:val="single" w:color="000000" w:sz="4" w:space="0"/>
            </w:tcBorders>
            <w:vAlign w:val="center"/>
          </w:tcPr>
          <w:p w14:paraId="32EF8833">
            <w:pPr>
              <w:widowControl/>
              <w:spacing w:line="300" w:lineRule="auto"/>
              <w:jc w:val="both"/>
              <w:textAlignment w:val="top"/>
              <w:rPr>
                <w:rFonts w:ascii="宋体" w:hAnsi="宋体" w:cs="宋体"/>
                <w:color w:val="000000"/>
                <w:szCs w:val="21"/>
              </w:rPr>
            </w:pPr>
            <w:r>
              <w:rPr>
                <w:rFonts w:hint="eastAsia" w:ascii="宋体" w:hAnsi="宋体" w:cs="宋体"/>
                <w:color w:val="000000"/>
                <w:kern w:val="0"/>
                <w:sz w:val="21"/>
                <w:szCs w:val="21"/>
                <w:lang w:bidi="ar"/>
              </w:rPr>
              <w:t>生产日期</w:t>
            </w:r>
          </w:p>
        </w:tc>
        <w:tc>
          <w:tcPr>
            <w:tcW w:w="706" w:type="pct"/>
            <w:tcBorders>
              <w:top w:val="single" w:color="000000" w:sz="4" w:space="0"/>
              <w:left w:val="single" w:color="000000" w:sz="4" w:space="0"/>
              <w:bottom w:val="single" w:color="000000" w:sz="4" w:space="0"/>
              <w:right w:val="single" w:color="000000" w:sz="4" w:space="0"/>
            </w:tcBorders>
            <w:vAlign w:val="center"/>
          </w:tcPr>
          <w:p w14:paraId="4BF4C819">
            <w:pPr>
              <w:widowControl/>
              <w:spacing w:line="300" w:lineRule="auto"/>
              <w:jc w:val="center"/>
              <w:textAlignment w:val="center"/>
              <w:rPr>
                <w:rFonts w:ascii="宋体" w:hAnsi="宋体" w:cs="宋体"/>
                <w:color w:val="000000"/>
                <w:szCs w:val="21"/>
              </w:rPr>
            </w:pPr>
            <w:r>
              <w:rPr>
                <w:rFonts w:hint="eastAsia" w:ascii="宋体" w:hAnsi="宋体" w:cs="宋体"/>
                <w:color w:val="000000"/>
                <w:kern w:val="0"/>
                <w:sz w:val="21"/>
                <w:szCs w:val="21"/>
                <w:lang w:bidi="ar"/>
              </w:rPr>
              <w:t>5分</w:t>
            </w:r>
          </w:p>
        </w:tc>
        <w:tc>
          <w:tcPr>
            <w:tcW w:w="1997" w:type="pct"/>
            <w:tcBorders>
              <w:top w:val="single" w:color="000000" w:sz="4" w:space="0"/>
              <w:left w:val="single" w:color="000000" w:sz="4" w:space="0"/>
              <w:bottom w:val="single" w:color="000000" w:sz="4" w:space="0"/>
              <w:right w:val="single" w:color="000000" w:sz="4" w:space="0"/>
            </w:tcBorders>
            <w:vAlign w:val="center"/>
          </w:tcPr>
          <w:p w14:paraId="370A47D5">
            <w:pPr>
              <w:widowControl/>
              <w:spacing w:line="300" w:lineRule="auto"/>
              <w:jc w:val="both"/>
              <w:textAlignment w:val="top"/>
              <w:rPr>
                <w:rFonts w:ascii="宋体" w:hAnsi="宋体" w:cs="宋体"/>
                <w:color w:val="000000"/>
                <w:szCs w:val="21"/>
              </w:rPr>
            </w:pPr>
            <w:r>
              <w:rPr>
                <w:rFonts w:hint="eastAsia" w:ascii="宋体" w:hAnsi="宋体" w:cs="宋体"/>
                <w:color w:val="000000"/>
                <w:kern w:val="0"/>
                <w:sz w:val="21"/>
                <w:szCs w:val="21"/>
                <w:lang w:bidi="ar"/>
              </w:rPr>
              <w:t>1、生产日期12个月内，5分；2、生产日期超一年，减1分，超过1.5年，减1.5分，超过2年，减2.5分，生产日期超过3年，不得分。复检合格者，还是按照生产日期计算，超过3年不得分。（因紧急使用双方事先沟通同意的药品除外）。</w:t>
            </w:r>
          </w:p>
        </w:tc>
        <w:tc>
          <w:tcPr>
            <w:tcW w:w="421" w:type="pct"/>
            <w:tcBorders>
              <w:top w:val="single" w:color="000000" w:sz="4" w:space="0"/>
              <w:left w:val="single" w:color="000000" w:sz="4" w:space="0"/>
              <w:bottom w:val="single" w:color="000000" w:sz="4" w:space="0"/>
              <w:right w:val="single" w:color="000000" w:sz="4" w:space="0"/>
            </w:tcBorders>
            <w:noWrap/>
            <w:vAlign w:val="center"/>
          </w:tcPr>
          <w:p w14:paraId="75132F58">
            <w:pPr>
              <w:spacing w:line="300" w:lineRule="auto"/>
              <w:rPr>
                <w:rFonts w:ascii="宋体" w:hAnsi="宋体" w:cs="宋体"/>
                <w:color w:val="000000"/>
                <w:szCs w:val="21"/>
              </w:rPr>
            </w:pPr>
          </w:p>
        </w:tc>
      </w:tr>
      <w:tr w14:paraId="60248463">
        <w:tblPrEx>
          <w:tblCellMar>
            <w:top w:w="0" w:type="dxa"/>
            <w:left w:w="108" w:type="dxa"/>
            <w:bottom w:w="0" w:type="dxa"/>
            <w:right w:w="108" w:type="dxa"/>
          </w:tblCellMar>
        </w:tblPrEx>
        <w:trPr>
          <w:trHeight w:val="480" w:hRule="atLeast"/>
        </w:trPr>
        <w:tc>
          <w:tcPr>
            <w:tcW w:w="920" w:type="pct"/>
            <w:vMerge w:val="continue"/>
            <w:tcBorders>
              <w:top w:val="single" w:color="000000" w:sz="4" w:space="0"/>
              <w:left w:val="single" w:color="000000" w:sz="4" w:space="0"/>
              <w:bottom w:val="single" w:color="000000" w:sz="4" w:space="0"/>
              <w:right w:val="single" w:color="000000" w:sz="4" w:space="0"/>
            </w:tcBorders>
            <w:vAlign w:val="center"/>
          </w:tcPr>
          <w:p w14:paraId="50C512D9">
            <w:pPr>
              <w:spacing w:line="300" w:lineRule="auto"/>
              <w:jc w:val="center"/>
              <w:rPr>
                <w:rFonts w:ascii="宋体" w:hAnsi="宋体" w:cs="宋体"/>
                <w:color w:val="000000"/>
                <w:szCs w:val="21"/>
              </w:rPr>
            </w:pPr>
          </w:p>
        </w:tc>
        <w:tc>
          <w:tcPr>
            <w:tcW w:w="957" w:type="pct"/>
            <w:tcBorders>
              <w:top w:val="single" w:color="000000" w:sz="4" w:space="0"/>
              <w:left w:val="single" w:color="000000" w:sz="4" w:space="0"/>
              <w:bottom w:val="single" w:color="000000" w:sz="4" w:space="0"/>
              <w:right w:val="single" w:color="000000" w:sz="4" w:space="0"/>
            </w:tcBorders>
            <w:vAlign w:val="center"/>
          </w:tcPr>
          <w:p w14:paraId="7D24AB59">
            <w:pPr>
              <w:widowControl/>
              <w:spacing w:line="300" w:lineRule="auto"/>
              <w:jc w:val="both"/>
              <w:textAlignment w:val="top"/>
              <w:rPr>
                <w:rFonts w:ascii="宋体" w:hAnsi="宋体" w:cs="宋体"/>
                <w:color w:val="000000"/>
                <w:szCs w:val="21"/>
              </w:rPr>
            </w:pPr>
            <w:r>
              <w:rPr>
                <w:rFonts w:hint="eastAsia" w:ascii="宋体" w:hAnsi="宋体" w:cs="宋体"/>
                <w:color w:val="000000"/>
                <w:kern w:val="0"/>
                <w:sz w:val="21"/>
                <w:szCs w:val="21"/>
                <w:lang w:bidi="ar"/>
              </w:rPr>
              <w:t>随货同行单准确性</w:t>
            </w:r>
          </w:p>
        </w:tc>
        <w:tc>
          <w:tcPr>
            <w:tcW w:w="706" w:type="pct"/>
            <w:tcBorders>
              <w:top w:val="single" w:color="000000" w:sz="4" w:space="0"/>
              <w:left w:val="single" w:color="000000" w:sz="4" w:space="0"/>
              <w:bottom w:val="single" w:color="000000" w:sz="4" w:space="0"/>
              <w:right w:val="single" w:color="000000" w:sz="4" w:space="0"/>
            </w:tcBorders>
            <w:vAlign w:val="center"/>
          </w:tcPr>
          <w:p w14:paraId="5304E5E4">
            <w:pPr>
              <w:widowControl/>
              <w:spacing w:line="300" w:lineRule="auto"/>
              <w:jc w:val="center"/>
              <w:textAlignment w:val="center"/>
              <w:rPr>
                <w:rFonts w:ascii="宋体" w:hAnsi="宋体" w:cs="宋体"/>
                <w:color w:val="000000"/>
                <w:szCs w:val="21"/>
              </w:rPr>
            </w:pPr>
            <w:r>
              <w:rPr>
                <w:rFonts w:hint="eastAsia" w:ascii="宋体" w:hAnsi="宋体" w:cs="宋体"/>
                <w:color w:val="000000"/>
                <w:kern w:val="0"/>
                <w:sz w:val="21"/>
                <w:szCs w:val="21"/>
                <w:lang w:bidi="ar"/>
              </w:rPr>
              <w:t>4分</w:t>
            </w:r>
          </w:p>
        </w:tc>
        <w:tc>
          <w:tcPr>
            <w:tcW w:w="1997" w:type="pct"/>
            <w:tcBorders>
              <w:top w:val="single" w:color="000000" w:sz="4" w:space="0"/>
              <w:left w:val="single" w:color="000000" w:sz="4" w:space="0"/>
              <w:bottom w:val="single" w:color="000000" w:sz="4" w:space="0"/>
              <w:right w:val="single" w:color="000000" w:sz="4" w:space="0"/>
            </w:tcBorders>
            <w:vAlign w:val="center"/>
          </w:tcPr>
          <w:p w14:paraId="63C7C286">
            <w:pPr>
              <w:widowControl/>
              <w:spacing w:line="300" w:lineRule="auto"/>
              <w:jc w:val="both"/>
              <w:textAlignment w:val="top"/>
              <w:rPr>
                <w:rFonts w:ascii="宋体" w:hAnsi="宋体" w:cs="宋体"/>
                <w:color w:val="000000"/>
                <w:szCs w:val="21"/>
              </w:rPr>
            </w:pPr>
            <w:r>
              <w:rPr>
                <w:rFonts w:hint="eastAsia" w:ascii="宋体" w:hAnsi="宋体" w:cs="宋体"/>
                <w:color w:val="000000"/>
                <w:kern w:val="0"/>
                <w:sz w:val="21"/>
                <w:szCs w:val="21"/>
                <w:lang w:bidi="ar"/>
              </w:rPr>
              <w:t>无问题，4分。1个问题减1分。</w:t>
            </w:r>
          </w:p>
        </w:tc>
        <w:tc>
          <w:tcPr>
            <w:tcW w:w="421" w:type="pct"/>
            <w:tcBorders>
              <w:top w:val="single" w:color="000000" w:sz="4" w:space="0"/>
              <w:left w:val="single" w:color="000000" w:sz="4" w:space="0"/>
              <w:bottom w:val="single" w:color="000000" w:sz="4" w:space="0"/>
              <w:right w:val="single" w:color="000000" w:sz="4" w:space="0"/>
            </w:tcBorders>
            <w:noWrap/>
            <w:vAlign w:val="center"/>
          </w:tcPr>
          <w:p w14:paraId="1A883C21">
            <w:pPr>
              <w:spacing w:line="300" w:lineRule="auto"/>
              <w:rPr>
                <w:rFonts w:ascii="宋体" w:hAnsi="宋体" w:cs="宋体"/>
                <w:color w:val="000000"/>
                <w:szCs w:val="21"/>
              </w:rPr>
            </w:pPr>
          </w:p>
        </w:tc>
      </w:tr>
      <w:tr w14:paraId="7E0E6E3D">
        <w:tblPrEx>
          <w:tblCellMar>
            <w:top w:w="0" w:type="dxa"/>
            <w:left w:w="108" w:type="dxa"/>
            <w:bottom w:w="0" w:type="dxa"/>
            <w:right w:w="108" w:type="dxa"/>
          </w:tblCellMar>
        </w:tblPrEx>
        <w:trPr>
          <w:trHeight w:val="1960" w:hRule="atLeast"/>
        </w:trPr>
        <w:tc>
          <w:tcPr>
            <w:tcW w:w="920" w:type="pct"/>
            <w:vMerge w:val="continue"/>
            <w:tcBorders>
              <w:top w:val="single" w:color="000000" w:sz="4" w:space="0"/>
              <w:left w:val="single" w:color="000000" w:sz="4" w:space="0"/>
              <w:bottom w:val="single" w:color="000000" w:sz="4" w:space="0"/>
              <w:right w:val="single" w:color="000000" w:sz="4" w:space="0"/>
            </w:tcBorders>
            <w:vAlign w:val="center"/>
          </w:tcPr>
          <w:p w14:paraId="2275AC61">
            <w:pPr>
              <w:spacing w:line="300" w:lineRule="auto"/>
              <w:jc w:val="center"/>
              <w:rPr>
                <w:rFonts w:ascii="宋体" w:hAnsi="宋体" w:cs="宋体"/>
                <w:color w:val="000000"/>
                <w:szCs w:val="21"/>
              </w:rPr>
            </w:pPr>
          </w:p>
        </w:tc>
        <w:tc>
          <w:tcPr>
            <w:tcW w:w="957" w:type="pct"/>
            <w:tcBorders>
              <w:top w:val="single" w:color="000000" w:sz="4" w:space="0"/>
              <w:left w:val="single" w:color="000000" w:sz="4" w:space="0"/>
              <w:bottom w:val="single" w:color="000000" w:sz="4" w:space="0"/>
              <w:right w:val="single" w:color="000000" w:sz="4" w:space="0"/>
            </w:tcBorders>
            <w:vAlign w:val="center"/>
          </w:tcPr>
          <w:p w14:paraId="538BF752">
            <w:pPr>
              <w:widowControl/>
              <w:spacing w:line="300" w:lineRule="auto"/>
              <w:jc w:val="both"/>
              <w:textAlignment w:val="top"/>
              <w:rPr>
                <w:rFonts w:ascii="宋体" w:hAnsi="宋体" w:cs="宋体"/>
                <w:color w:val="000000"/>
                <w:szCs w:val="21"/>
              </w:rPr>
            </w:pPr>
            <w:r>
              <w:rPr>
                <w:rFonts w:hint="eastAsia" w:ascii="宋体" w:hAnsi="宋体" w:cs="宋体"/>
                <w:color w:val="000000"/>
                <w:kern w:val="0"/>
                <w:sz w:val="21"/>
                <w:szCs w:val="21"/>
                <w:lang w:bidi="ar"/>
              </w:rPr>
              <w:t>药品分箱</w:t>
            </w:r>
          </w:p>
        </w:tc>
        <w:tc>
          <w:tcPr>
            <w:tcW w:w="706" w:type="pct"/>
            <w:tcBorders>
              <w:top w:val="single" w:color="000000" w:sz="4" w:space="0"/>
              <w:left w:val="single" w:color="000000" w:sz="4" w:space="0"/>
              <w:bottom w:val="single" w:color="000000" w:sz="4" w:space="0"/>
              <w:right w:val="single" w:color="000000" w:sz="4" w:space="0"/>
            </w:tcBorders>
            <w:vAlign w:val="center"/>
          </w:tcPr>
          <w:p w14:paraId="320F464A">
            <w:pPr>
              <w:widowControl/>
              <w:spacing w:line="300" w:lineRule="auto"/>
              <w:jc w:val="center"/>
              <w:textAlignment w:val="center"/>
              <w:rPr>
                <w:rFonts w:ascii="宋体" w:hAnsi="宋体" w:cs="宋体"/>
                <w:color w:val="000000"/>
                <w:szCs w:val="21"/>
              </w:rPr>
            </w:pPr>
            <w:r>
              <w:rPr>
                <w:rFonts w:hint="eastAsia" w:ascii="宋体" w:hAnsi="宋体" w:cs="宋体"/>
                <w:color w:val="000000"/>
                <w:kern w:val="0"/>
                <w:sz w:val="21"/>
                <w:szCs w:val="21"/>
                <w:lang w:bidi="ar"/>
              </w:rPr>
              <w:t>4分</w:t>
            </w:r>
          </w:p>
        </w:tc>
        <w:tc>
          <w:tcPr>
            <w:tcW w:w="1997" w:type="pct"/>
            <w:tcBorders>
              <w:top w:val="single" w:color="000000" w:sz="4" w:space="0"/>
              <w:left w:val="single" w:color="000000" w:sz="4" w:space="0"/>
              <w:bottom w:val="single" w:color="000000" w:sz="4" w:space="0"/>
              <w:right w:val="single" w:color="000000" w:sz="4" w:space="0"/>
            </w:tcBorders>
            <w:vAlign w:val="center"/>
          </w:tcPr>
          <w:p w14:paraId="4F3980F3">
            <w:pPr>
              <w:widowControl/>
              <w:spacing w:line="300" w:lineRule="auto"/>
              <w:jc w:val="both"/>
              <w:textAlignment w:val="top"/>
              <w:rPr>
                <w:rFonts w:ascii="宋体" w:hAnsi="宋体" w:cs="宋体"/>
                <w:color w:val="000000"/>
                <w:szCs w:val="21"/>
              </w:rPr>
            </w:pPr>
            <w:r>
              <w:rPr>
                <w:rFonts w:hint="eastAsia" w:ascii="宋体" w:hAnsi="宋体" w:cs="宋体"/>
                <w:color w:val="000000"/>
                <w:kern w:val="0"/>
                <w:sz w:val="21"/>
                <w:szCs w:val="21"/>
                <w:lang w:bidi="ar"/>
              </w:rPr>
              <w:t>同品规药品应装在同一个大包装，如数量不够一个大包装的，可与其它品规的药品拼箱：同品规拼在一起，叠放整齐，4分；如散乱拼箱，一个品规扣0.5分。（摆货员给予分类摆放好的除外）</w:t>
            </w:r>
          </w:p>
        </w:tc>
        <w:tc>
          <w:tcPr>
            <w:tcW w:w="421" w:type="pct"/>
            <w:tcBorders>
              <w:top w:val="single" w:color="000000" w:sz="4" w:space="0"/>
              <w:left w:val="single" w:color="000000" w:sz="4" w:space="0"/>
              <w:bottom w:val="single" w:color="000000" w:sz="4" w:space="0"/>
              <w:right w:val="single" w:color="000000" w:sz="4" w:space="0"/>
            </w:tcBorders>
            <w:noWrap/>
            <w:vAlign w:val="center"/>
          </w:tcPr>
          <w:p w14:paraId="33296929">
            <w:pPr>
              <w:spacing w:line="300" w:lineRule="auto"/>
              <w:rPr>
                <w:rFonts w:ascii="宋体" w:hAnsi="宋体" w:cs="宋体"/>
                <w:color w:val="000000"/>
                <w:szCs w:val="21"/>
              </w:rPr>
            </w:pPr>
          </w:p>
        </w:tc>
      </w:tr>
      <w:tr w14:paraId="00AC59FA">
        <w:tblPrEx>
          <w:tblCellMar>
            <w:top w:w="0" w:type="dxa"/>
            <w:left w:w="108" w:type="dxa"/>
            <w:bottom w:w="0" w:type="dxa"/>
            <w:right w:w="108" w:type="dxa"/>
          </w:tblCellMar>
        </w:tblPrEx>
        <w:trPr>
          <w:trHeight w:val="480" w:hRule="atLeast"/>
        </w:trPr>
        <w:tc>
          <w:tcPr>
            <w:tcW w:w="920" w:type="pct"/>
            <w:vMerge w:val="continue"/>
            <w:tcBorders>
              <w:top w:val="single" w:color="000000" w:sz="4" w:space="0"/>
              <w:left w:val="single" w:color="000000" w:sz="4" w:space="0"/>
              <w:bottom w:val="single" w:color="000000" w:sz="4" w:space="0"/>
              <w:right w:val="single" w:color="000000" w:sz="4" w:space="0"/>
            </w:tcBorders>
            <w:vAlign w:val="center"/>
          </w:tcPr>
          <w:p w14:paraId="73C58DA6">
            <w:pPr>
              <w:spacing w:line="300" w:lineRule="auto"/>
              <w:jc w:val="center"/>
              <w:rPr>
                <w:rFonts w:ascii="宋体" w:hAnsi="宋体" w:cs="宋体"/>
                <w:color w:val="000000"/>
                <w:szCs w:val="21"/>
              </w:rPr>
            </w:pPr>
          </w:p>
        </w:tc>
        <w:tc>
          <w:tcPr>
            <w:tcW w:w="957" w:type="pct"/>
            <w:tcBorders>
              <w:top w:val="single" w:color="000000" w:sz="4" w:space="0"/>
              <w:left w:val="single" w:color="000000" w:sz="4" w:space="0"/>
              <w:bottom w:val="single" w:color="000000" w:sz="4" w:space="0"/>
              <w:right w:val="single" w:color="000000" w:sz="4" w:space="0"/>
            </w:tcBorders>
            <w:vAlign w:val="center"/>
          </w:tcPr>
          <w:p w14:paraId="47082FEC">
            <w:pPr>
              <w:widowControl/>
              <w:spacing w:line="300" w:lineRule="auto"/>
              <w:jc w:val="both"/>
              <w:textAlignment w:val="top"/>
              <w:rPr>
                <w:rFonts w:ascii="宋体" w:hAnsi="宋体" w:cs="宋体"/>
                <w:color w:val="000000"/>
                <w:szCs w:val="21"/>
              </w:rPr>
            </w:pPr>
            <w:r>
              <w:rPr>
                <w:rFonts w:hint="eastAsia" w:ascii="宋体" w:hAnsi="宋体" w:cs="宋体"/>
                <w:color w:val="000000"/>
                <w:kern w:val="0"/>
                <w:sz w:val="21"/>
                <w:szCs w:val="21"/>
                <w:lang w:bidi="ar"/>
              </w:rPr>
              <w:t>单据补送速度</w:t>
            </w:r>
          </w:p>
        </w:tc>
        <w:tc>
          <w:tcPr>
            <w:tcW w:w="706" w:type="pct"/>
            <w:tcBorders>
              <w:top w:val="single" w:color="000000" w:sz="4" w:space="0"/>
              <w:left w:val="single" w:color="000000" w:sz="4" w:space="0"/>
              <w:bottom w:val="single" w:color="000000" w:sz="4" w:space="0"/>
              <w:right w:val="single" w:color="000000" w:sz="4" w:space="0"/>
            </w:tcBorders>
            <w:vAlign w:val="center"/>
          </w:tcPr>
          <w:p w14:paraId="4E08F368">
            <w:pPr>
              <w:widowControl/>
              <w:spacing w:line="300" w:lineRule="auto"/>
              <w:jc w:val="center"/>
              <w:textAlignment w:val="center"/>
              <w:rPr>
                <w:rFonts w:ascii="宋体" w:hAnsi="宋体" w:cs="宋体"/>
                <w:color w:val="000000"/>
                <w:szCs w:val="21"/>
              </w:rPr>
            </w:pPr>
            <w:r>
              <w:rPr>
                <w:rFonts w:hint="eastAsia" w:ascii="宋体" w:hAnsi="宋体" w:cs="宋体"/>
                <w:color w:val="000000"/>
                <w:kern w:val="0"/>
                <w:sz w:val="21"/>
                <w:szCs w:val="21"/>
                <w:lang w:bidi="ar"/>
              </w:rPr>
              <w:t>3分</w:t>
            </w:r>
          </w:p>
        </w:tc>
        <w:tc>
          <w:tcPr>
            <w:tcW w:w="1997" w:type="pct"/>
            <w:tcBorders>
              <w:top w:val="single" w:color="000000" w:sz="4" w:space="0"/>
              <w:left w:val="single" w:color="000000" w:sz="4" w:space="0"/>
              <w:bottom w:val="single" w:color="000000" w:sz="4" w:space="0"/>
              <w:right w:val="single" w:color="000000" w:sz="4" w:space="0"/>
            </w:tcBorders>
            <w:vAlign w:val="center"/>
          </w:tcPr>
          <w:p w14:paraId="4CDA3519">
            <w:pPr>
              <w:widowControl/>
              <w:spacing w:line="300" w:lineRule="auto"/>
              <w:jc w:val="both"/>
              <w:textAlignment w:val="top"/>
              <w:rPr>
                <w:rFonts w:ascii="宋体" w:hAnsi="宋体" w:cs="宋体"/>
                <w:color w:val="000000"/>
                <w:szCs w:val="21"/>
              </w:rPr>
            </w:pPr>
            <w:r>
              <w:rPr>
                <w:rFonts w:hint="eastAsia" w:ascii="宋体" w:hAnsi="宋体" w:cs="宋体"/>
                <w:color w:val="000000"/>
                <w:kern w:val="0"/>
                <w:sz w:val="21"/>
                <w:szCs w:val="21"/>
                <w:lang w:bidi="ar"/>
              </w:rPr>
              <w:t>1天内补齐，3分；超过1天，减1分</w:t>
            </w:r>
          </w:p>
        </w:tc>
        <w:tc>
          <w:tcPr>
            <w:tcW w:w="421" w:type="pct"/>
            <w:tcBorders>
              <w:top w:val="single" w:color="000000" w:sz="4" w:space="0"/>
              <w:left w:val="single" w:color="000000" w:sz="4" w:space="0"/>
              <w:bottom w:val="single" w:color="000000" w:sz="4" w:space="0"/>
              <w:right w:val="single" w:color="000000" w:sz="4" w:space="0"/>
            </w:tcBorders>
            <w:noWrap/>
            <w:vAlign w:val="center"/>
          </w:tcPr>
          <w:p w14:paraId="3FF478AB">
            <w:pPr>
              <w:spacing w:line="300" w:lineRule="auto"/>
              <w:rPr>
                <w:rFonts w:ascii="宋体" w:hAnsi="宋体" w:cs="宋体"/>
                <w:color w:val="000000"/>
                <w:szCs w:val="21"/>
              </w:rPr>
            </w:pPr>
          </w:p>
        </w:tc>
      </w:tr>
      <w:tr w14:paraId="7B432328">
        <w:tblPrEx>
          <w:tblCellMar>
            <w:top w:w="0" w:type="dxa"/>
            <w:left w:w="108" w:type="dxa"/>
            <w:bottom w:w="0" w:type="dxa"/>
            <w:right w:w="108" w:type="dxa"/>
          </w:tblCellMar>
        </w:tblPrEx>
        <w:trPr>
          <w:trHeight w:val="500" w:hRule="atLeast"/>
        </w:trPr>
        <w:tc>
          <w:tcPr>
            <w:tcW w:w="920" w:type="pct"/>
            <w:vMerge w:val="continue"/>
            <w:tcBorders>
              <w:top w:val="single" w:color="000000" w:sz="4" w:space="0"/>
              <w:left w:val="single" w:color="000000" w:sz="4" w:space="0"/>
              <w:bottom w:val="single" w:color="000000" w:sz="4" w:space="0"/>
              <w:right w:val="single" w:color="000000" w:sz="4" w:space="0"/>
            </w:tcBorders>
            <w:vAlign w:val="center"/>
          </w:tcPr>
          <w:p w14:paraId="3714E1C4">
            <w:pPr>
              <w:spacing w:line="300" w:lineRule="auto"/>
              <w:jc w:val="center"/>
              <w:rPr>
                <w:rFonts w:ascii="宋体" w:hAnsi="宋体" w:cs="宋体"/>
                <w:color w:val="000000"/>
                <w:szCs w:val="21"/>
              </w:rPr>
            </w:pPr>
          </w:p>
        </w:tc>
        <w:tc>
          <w:tcPr>
            <w:tcW w:w="957" w:type="pct"/>
            <w:tcBorders>
              <w:top w:val="single" w:color="000000" w:sz="4" w:space="0"/>
              <w:left w:val="single" w:color="000000" w:sz="4" w:space="0"/>
              <w:bottom w:val="single" w:color="000000" w:sz="4" w:space="0"/>
              <w:right w:val="single" w:color="000000" w:sz="4" w:space="0"/>
            </w:tcBorders>
            <w:vAlign w:val="center"/>
          </w:tcPr>
          <w:p w14:paraId="7596ABAF">
            <w:pPr>
              <w:widowControl/>
              <w:spacing w:line="300" w:lineRule="auto"/>
              <w:jc w:val="both"/>
              <w:textAlignment w:val="top"/>
              <w:rPr>
                <w:rFonts w:ascii="宋体" w:hAnsi="宋体" w:cs="宋体"/>
                <w:color w:val="000000"/>
                <w:szCs w:val="21"/>
              </w:rPr>
            </w:pPr>
            <w:r>
              <w:rPr>
                <w:rFonts w:hint="eastAsia" w:ascii="宋体" w:hAnsi="宋体" w:cs="宋体"/>
                <w:color w:val="000000"/>
                <w:kern w:val="0"/>
                <w:sz w:val="21"/>
                <w:szCs w:val="21"/>
                <w:lang w:bidi="ar"/>
              </w:rPr>
              <w:t>单据补送准确度</w:t>
            </w:r>
          </w:p>
        </w:tc>
        <w:tc>
          <w:tcPr>
            <w:tcW w:w="706" w:type="pct"/>
            <w:tcBorders>
              <w:top w:val="single" w:color="000000" w:sz="4" w:space="0"/>
              <w:left w:val="single" w:color="000000" w:sz="4" w:space="0"/>
              <w:bottom w:val="single" w:color="000000" w:sz="4" w:space="0"/>
              <w:right w:val="single" w:color="000000" w:sz="4" w:space="0"/>
            </w:tcBorders>
            <w:vAlign w:val="center"/>
          </w:tcPr>
          <w:p w14:paraId="49D44F48">
            <w:pPr>
              <w:widowControl/>
              <w:spacing w:line="300" w:lineRule="auto"/>
              <w:jc w:val="center"/>
              <w:textAlignment w:val="center"/>
              <w:rPr>
                <w:rFonts w:ascii="宋体" w:hAnsi="宋体" w:cs="宋体"/>
                <w:color w:val="000000"/>
                <w:szCs w:val="21"/>
              </w:rPr>
            </w:pPr>
            <w:r>
              <w:rPr>
                <w:rFonts w:hint="eastAsia" w:ascii="宋体" w:hAnsi="宋体" w:cs="宋体"/>
                <w:color w:val="000000"/>
                <w:kern w:val="0"/>
                <w:sz w:val="21"/>
                <w:szCs w:val="21"/>
                <w:lang w:bidi="ar"/>
              </w:rPr>
              <w:t>2分</w:t>
            </w:r>
          </w:p>
        </w:tc>
        <w:tc>
          <w:tcPr>
            <w:tcW w:w="1997" w:type="pct"/>
            <w:tcBorders>
              <w:top w:val="single" w:color="000000" w:sz="4" w:space="0"/>
              <w:left w:val="single" w:color="000000" w:sz="4" w:space="0"/>
              <w:bottom w:val="single" w:color="000000" w:sz="4" w:space="0"/>
              <w:right w:val="single" w:color="000000" w:sz="4" w:space="0"/>
            </w:tcBorders>
            <w:vAlign w:val="center"/>
          </w:tcPr>
          <w:p w14:paraId="4E59AF2C">
            <w:pPr>
              <w:widowControl/>
              <w:spacing w:line="300" w:lineRule="auto"/>
              <w:jc w:val="both"/>
              <w:textAlignment w:val="top"/>
              <w:rPr>
                <w:rFonts w:ascii="宋体" w:hAnsi="宋体" w:cs="宋体"/>
                <w:color w:val="000000"/>
                <w:szCs w:val="21"/>
              </w:rPr>
            </w:pPr>
            <w:r>
              <w:rPr>
                <w:rFonts w:hint="eastAsia" w:ascii="宋体" w:hAnsi="宋体" w:cs="宋体"/>
                <w:color w:val="000000"/>
                <w:kern w:val="0"/>
                <w:sz w:val="21"/>
                <w:szCs w:val="21"/>
                <w:lang w:bidi="ar"/>
              </w:rPr>
              <w:t>单据补齐，2分；缺1种减1分</w:t>
            </w:r>
          </w:p>
        </w:tc>
        <w:tc>
          <w:tcPr>
            <w:tcW w:w="421" w:type="pct"/>
            <w:tcBorders>
              <w:top w:val="single" w:color="000000" w:sz="4" w:space="0"/>
              <w:left w:val="single" w:color="000000" w:sz="4" w:space="0"/>
              <w:bottom w:val="single" w:color="000000" w:sz="4" w:space="0"/>
              <w:right w:val="single" w:color="000000" w:sz="4" w:space="0"/>
            </w:tcBorders>
            <w:noWrap/>
            <w:vAlign w:val="center"/>
          </w:tcPr>
          <w:p w14:paraId="6C056EBB">
            <w:pPr>
              <w:spacing w:line="300" w:lineRule="auto"/>
              <w:rPr>
                <w:rFonts w:ascii="宋体" w:hAnsi="宋体" w:cs="宋体"/>
                <w:color w:val="000000"/>
                <w:szCs w:val="21"/>
              </w:rPr>
            </w:pPr>
          </w:p>
        </w:tc>
      </w:tr>
      <w:tr w14:paraId="1ED599C9">
        <w:tblPrEx>
          <w:tblCellMar>
            <w:top w:w="0" w:type="dxa"/>
            <w:left w:w="108" w:type="dxa"/>
            <w:bottom w:w="0" w:type="dxa"/>
            <w:right w:w="108" w:type="dxa"/>
          </w:tblCellMar>
        </w:tblPrEx>
        <w:trPr>
          <w:trHeight w:val="480" w:hRule="atLeast"/>
        </w:trPr>
        <w:tc>
          <w:tcPr>
            <w:tcW w:w="920" w:type="pct"/>
            <w:vMerge w:val="continue"/>
            <w:tcBorders>
              <w:top w:val="single" w:color="000000" w:sz="4" w:space="0"/>
              <w:left w:val="single" w:color="000000" w:sz="4" w:space="0"/>
              <w:bottom w:val="single" w:color="000000" w:sz="4" w:space="0"/>
              <w:right w:val="single" w:color="000000" w:sz="4" w:space="0"/>
            </w:tcBorders>
            <w:vAlign w:val="center"/>
          </w:tcPr>
          <w:p w14:paraId="3C81DCDD">
            <w:pPr>
              <w:spacing w:line="300" w:lineRule="auto"/>
              <w:jc w:val="center"/>
              <w:rPr>
                <w:rFonts w:ascii="宋体" w:hAnsi="宋体" w:cs="宋体"/>
                <w:color w:val="000000"/>
                <w:szCs w:val="21"/>
              </w:rPr>
            </w:pPr>
          </w:p>
        </w:tc>
        <w:tc>
          <w:tcPr>
            <w:tcW w:w="957" w:type="pct"/>
            <w:tcBorders>
              <w:top w:val="single" w:color="000000" w:sz="4" w:space="0"/>
              <w:left w:val="single" w:color="000000" w:sz="4" w:space="0"/>
              <w:bottom w:val="single" w:color="000000" w:sz="4" w:space="0"/>
              <w:right w:val="single" w:color="000000" w:sz="4" w:space="0"/>
            </w:tcBorders>
            <w:vAlign w:val="center"/>
          </w:tcPr>
          <w:p w14:paraId="720913F6">
            <w:pPr>
              <w:widowControl/>
              <w:spacing w:line="300" w:lineRule="auto"/>
              <w:jc w:val="both"/>
              <w:textAlignment w:val="top"/>
              <w:rPr>
                <w:rFonts w:ascii="宋体" w:hAnsi="宋体" w:cs="宋体"/>
                <w:color w:val="000000"/>
                <w:szCs w:val="21"/>
              </w:rPr>
            </w:pPr>
            <w:r>
              <w:rPr>
                <w:rFonts w:hint="eastAsia" w:ascii="宋体" w:hAnsi="宋体" w:cs="宋体"/>
                <w:color w:val="000000"/>
                <w:kern w:val="0"/>
                <w:sz w:val="21"/>
                <w:szCs w:val="21"/>
                <w:lang w:bidi="ar"/>
              </w:rPr>
              <w:t>价格准确度</w:t>
            </w:r>
          </w:p>
        </w:tc>
        <w:tc>
          <w:tcPr>
            <w:tcW w:w="706" w:type="pct"/>
            <w:tcBorders>
              <w:top w:val="single" w:color="000000" w:sz="4" w:space="0"/>
              <w:left w:val="single" w:color="000000" w:sz="4" w:space="0"/>
              <w:bottom w:val="single" w:color="000000" w:sz="4" w:space="0"/>
              <w:right w:val="single" w:color="000000" w:sz="4" w:space="0"/>
            </w:tcBorders>
            <w:vAlign w:val="center"/>
          </w:tcPr>
          <w:p w14:paraId="2778C061">
            <w:pPr>
              <w:widowControl/>
              <w:spacing w:line="300" w:lineRule="auto"/>
              <w:jc w:val="center"/>
              <w:textAlignment w:val="center"/>
              <w:rPr>
                <w:rFonts w:ascii="宋体" w:hAnsi="宋体" w:cs="宋体"/>
                <w:color w:val="000000"/>
                <w:szCs w:val="21"/>
              </w:rPr>
            </w:pPr>
            <w:r>
              <w:rPr>
                <w:rFonts w:hint="eastAsia" w:ascii="宋体" w:hAnsi="宋体" w:cs="宋体"/>
                <w:color w:val="000000"/>
                <w:kern w:val="0"/>
                <w:sz w:val="21"/>
                <w:szCs w:val="21"/>
                <w:lang w:bidi="ar"/>
              </w:rPr>
              <w:t>2分</w:t>
            </w:r>
          </w:p>
        </w:tc>
        <w:tc>
          <w:tcPr>
            <w:tcW w:w="1997" w:type="pct"/>
            <w:tcBorders>
              <w:top w:val="single" w:color="000000" w:sz="4" w:space="0"/>
              <w:left w:val="single" w:color="000000" w:sz="4" w:space="0"/>
              <w:bottom w:val="single" w:color="000000" w:sz="4" w:space="0"/>
              <w:right w:val="single" w:color="000000" w:sz="4" w:space="0"/>
            </w:tcBorders>
            <w:vAlign w:val="center"/>
          </w:tcPr>
          <w:p w14:paraId="27F22319">
            <w:pPr>
              <w:widowControl/>
              <w:spacing w:line="300" w:lineRule="auto"/>
              <w:jc w:val="both"/>
              <w:textAlignment w:val="top"/>
              <w:rPr>
                <w:rFonts w:ascii="宋体" w:hAnsi="宋体" w:cs="宋体"/>
                <w:color w:val="000000"/>
                <w:szCs w:val="21"/>
              </w:rPr>
            </w:pPr>
            <w:r>
              <w:rPr>
                <w:rFonts w:hint="eastAsia" w:ascii="宋体" w:hAnsi="宋体" w:cs="宋体"/>
                <w:color w:val="000000"/>
                <w:kern w:val="0"/>
                <w:sz w:val="21"/>
                <w:szCs w:val="21"/>
                <w:lang w:bidi="ar"/>
              </w:rPr>
              <w:t>价格准确，2分;  错1种减0.5分</w:t>
            </w:r>
          </w:p>
        </w:tc>
        <w:tc>
          <w:tcPr>
            <w:tcW w:w="421" w:type="pct"/>
            <w:tcBorders>
              <w:top w:val="single" w:color="000000" w:sz="4" w:space="0"/>
              <w:left w:val="single" w:color="000000" w:sz="4" w:space="0"/>
              <w:bottom w:val="single" w:color="000000" w:sz="4" w:space="0"/>
              <w:right w:val="single" w:color="000000" w:sz="4" w:space="0"/>
            </w:tcBorders>
            <w:noWrap/>
            <w:vAlign w:val="center"/>
          </w:tcPr>
          <w:p w14:paraId="5E137095">
            <w:pPr>
              <w:spacing w:line="300" w:lineRule="auto"/>
              <w:rPr>
                <w:rFonts w:ascii="宋体" w:hAnsi="宋体" w:cs="宋体"/>
                <w:color w:val="000000"/>
                <w:szCs w:val="21"/>
              </w:rPr>
            </w:pPr>
          </w:p>
        </w:tc>
      </w:tr>
      <w:tr w14:paraId="42042149">
        <w:tblPrEx>
          <w:tblCellMar>
            <w:top w:w="0" w:type="dxa"/>
            <w:left w:w="108" w:type="dxa"/>
            <w:bottom w:w="0" w:type="dxa"/>
            <w:right w:w="108" w:type="dxa"/>
          </w:tblCellMar>
        </w:tblPrEx>
        <w:trPr>
          <w:trHeight w:val="720" w:hRule="atLeast"/>
        </w:trPr>
        <w:tc>
          <w:tcPr>
            <w:tcW w:w="920" w:type="pct"/>
            <w:vMerge w:val="restart"/>
            <w:tcBorders>
              <w:top w:val="single" w:color="000000" w:sz="4" w:space="0"/>
              <w:left w:val="single" w:color="000000" w:sz="4" w:space="0"/>
              <w:bottom w:val="single" w:color="000000" w:sz="4" w:space="0"/>
              <w:right w:val="single" w:color="000000" w:sz="4" w:space="0"/>
            </w:tcBorders>
            <w:vAlign w:val="center"/>
          </w:tcPr>
          <w:p w14:paraId="4CD2576E">
            <w:pPr>
              <w:widowControl/>
              <w:spacing w:line="300" w:lineRule="auto"/>
              <w:jc w:val="center"/>
              <w:textAlignment w:val="center"/>
              <w:rPr>
                <w:ins w:id="1" w:author="YSy" w:date="2025-09-12T09:11:53Z"/>
                <w:rFonts w:hint="eastAsia" w:ascii="宋体" w:hAnsi="宋体" w:cs="宋体"/>
                <w:color w:val="000000"/>
                <w:kern w:val="0"/>
                <w:sz w:val="21"/>
                <w:szCs w:val="21"/>
                <w:lang w:bidi="ar"/>
              </w:rPr>
            </w:pPr>
            <w:r>
              <w:rPr>
                <w:rFonts w:hint="eastAsia" w:ascii="宋体" w:hAnsi="宋体" w:cs="宋体"/>
                <w:color w:val="000000"/>
                <w:kern w:val="0"/>
                <w:sz w:val="21"/>
                <w:szCs w:val="21"/>
                <w:lang w:bidi="ar"/>
              </w:rPr>
              <w:t>应急服务能力</w:t>
            </w:r>
          </w:p>
          <w:p w14:paraId="2C752430">
            <w:pPr>
              <w:widowControl/>
              <w:spacing w:line="300" w:lineRule="auto"/>
              <w:jc w:val="center"/>
              <w:textAlignment w:val="center"/>
              <w:rPr>
                <w:rFonts w:ascii="宋体" w:hAnsi="宋体" w:cs="宋体"/>
                <w:color w:val="000000"/>
                <w:szCs w:val="21"/>
              </w:rPr>
            </w:pPr>
            <w:r>
              <w:rPr>
                <w:rFonts w:hint="eastAsia" w:ascii="宋体" w:hAnsi="宋体" w:cs="宋体"/>
                <w:color w:val="000000"/>
                <w:kern w:val="0"/>
                <w:sz w:val="21"/>
                <w:szCs w:val="21"/>
                <w:lang w:bidi="ar"/>
              </w:rPr>
              <w:t>(20分)</w:t>
            </w:r>
          </w:p>
        </w:tc>
        <w:tc>
          <w:tcPr>
            <w:tcW w:w="957" w:type="pct"/>
            <w:tcBorders>
              <w:top w:val="single" w:color="000000" w:sz="4" w:space="0"/>
              <w:left w:val="single" w:color="000000" w:sz="4" w:space="0"/>
              <w:bottom w:val="single" w:color="000000" w:sz="4" w:space="0"/>
              <w:right w:val="single" w:color="000000" w:sz="4" w:space="0"/>
            </w:tcBorders>
            <w:vAlign w:val="center"/>
          </w:tcPr>
          <w:p w14:paraId="750B6E84">
            <w:pPr>
              <w:widowControl/>
              <w:spacing w:line="300" w:lineRule="auto"/>
              <w:jc w:val="both"/>
              <w:textAlignment w:val="top"/>
              <w:rPr>
                <w:rFonts w:ascii="宋体" w:hAnsi="宋体" w:cs="宋体"/>
                <w:color w:val="000000"/>
                <w:szCs w:val="21"/>
              </w:rPr>
            </w:pPr>
            <w:r>
              <w:rPr>
                <w:rFonts w:hint="eastAsia" w:ascii="宋体" w:hAnsi="宋体" w:cs="宋体"/>
                <w:color w:val="000000"/>
                <w:kern w:val="0"/>
                <w:sz w:val="21"/>
                <w:szCs w:val="21"/>
                <w:lang w:bidi="ar"/>
              </w:rPr>
              <w:t>应急配送协调能力</w:t>
            </w:r>
          </w:p>
        </w:tc>
        <w:tc>
          <w:tcPr>
            <w:tcW w:w="706" w:type="pct"/>
            <w:tcBorders>
              <w:top w:val="single" w:color="000000" w:sz="4" w:space="0"/>
              <w:left w:val="single" w:color="000000" w:sz="4" w:space="0"/>
              <w:bottom w:val="single" w:color="000000" w:sz="4" w:space="0"/>
              <w:right w:val="single" w:color="000000" w:sz="4" w:space="0"/>
            </w:tcBorders>
            <w:vAlign w:val="center"/>
          </w:tcPr>
          <w:p w14:paraId="43DFD4E6">
            <w:pPr>
              <w:widowControl/>
              <w:spacing w:line="300" w:lineRule="auto"/>
              <w:jc w:val="center"/>
              <w:textAlignment w:val="center"/>
              <w:rPr>
                <w:rFonts w:ascii="宋体" w:hAnsi="宋体" w:cs="宋体"/>
                <w:color w:val="000000"/>
                <w:szCs w:val="21"/>
              </w:rPr>
            </w:pPr>
            <w:r>
              <w:rPr>
                <w:rFonts w:hint="eastAsia" w:ascii="宋体" w:hAnsi="宋体" w:cs="宋体"/>
                <w:color w:val="000000"/>
                <w:kern w:val="0"/>
                <w:sz w:val="21"/>
                <w:szCs w:val="21"/>
                <w:lang w:bidi="ar"/>
              </w:rPr>
              <w:t>4分</w:t>
            </w:r>
          </w:p>
        </w:tc>
        <w:tc>
          <w:tcPr>
            <w:tcW w:w="1997" w:type="pct"/>
            <w:tcBorders>
              <w:top w:val="single" w:color="000000" w:sz="4" w:space="0"/>
              <w:left w:val="single" w:color="000000" w:sz="4" w:space="0"/>
              <w:bottom w:val="single" w:color="000000" w:sz="4" w:space="0"/>
              <w:right w:val="single" w:color="000000" w:sz="4" w:space="0"/>
            </w:tcBorders>
            <w:vAlign w:val="center"/>
          </w:tcPr>
          <w:p w14:paraId="00985D69">
            <w:pPr>
              <w:widowControl/>
              <w:spacing w:line="300" w:lineRule="auto"/>
              <w:jc w:val="both"/>
              <w:textAlignment w:val="top"/>
              <w:rPr>
                <w:rFonts w:ascii="宋体" w:hAnsi="宋体" w:cs="宋体"/>
                <w:color w:val="000000"/>
                <w:szCs w:val="21"/>
              </w:rPr>
            </w:pPr>
            <w:r>
              <w:rPr>
                <w:rFonts w:hint="eastAsia" w:ascii="宋体" w:hAnsi="宋体" w:cs="宋体"/>
                <w:color w:val="000000"/>
                <w:kern w:val="0"/>
                <w:sz w:val="21"/>
                <w:szCs w:val="21"/>
                <w:lang w:bidi="ar"/>
              </w:rPr>
              <w:t>1、当天送达，4分。第二天送达2分，超过2天不得分。</w:t>
            </w:r>
          </w:p>
        </w:tc>
        <w:tc>
          <w:tcPr>
            <w:tcW w:w="421" w:type="pct"/>
            <w:tcBorders>
              <w:top w:val="single" w:color="000000" w:sz="4" w:space="0"/>
              <w:left w:val="single" w:color="000000" w:sz="4" w:space="0"/>
              <w:bottom w:val="single" w:color="000000" w:sz="4" w:space="0"/>
              <w:right w:val="single" w:color="000000" w:sz="4" w:space="0"/>
            </w:tcBorders>
            <w:noWrap/>
            <w:vAlign w:val="center"/>
          </w:tcPr>
          <w:p w14:paraId="337CD549">
            <w:pPr>
              <w:spacing w:line="300" w:lineRule="auto"/>
              <w:rPr>
                <w:rFonts w:ascii="宋体" w:hAnsi="宋体" w:cs="宋体"/>
                <w:color w:val="000000"/>
                <w:szCs w:val="21"/>
              </w:rPr>
            </w:pPr>
          </w:p>
        </w:tc>
      </w:tr>
      <w:tr w14:paraId="21B43520">
        <w:tblPrEx>
          <w:tblCellMar>
            <w:top w:w="0" w:type="dxa"/>
            <w:left w:w="108" w:type="dxa"/>
            <w:bottom w:w="0" w:type="dxa"/>
            <w:right w:w="108" w:type="dxa"/>
          </w:tblCellMar>
        </w:tblPrEx>
        <w:trPr>
          <w:trHeight w:val="1680" w:hRule="atLeast"/>
        </w:trPr>
        <w:tc>
          <w:tcPr>
            <w:tcW w:w="920" w:type="pct"/>
            <w:vMerge w:val="continue"/>
            <w:tcBorders>
              <w:top w:val="single" w:color="000000" w:sz="4" w:space="0"/>
              <w:left w:val="single" w:color="000000" w:sz="4" w:space="0"/>
              <w:bottom w:val="single" w:color="000000" w:sz="4" w:space="0"/>
              <w:right w:val="single" w:color="000000" w:sz="4" w:space="0"/>
            </w:tcBorders>
            <w:vAlign w:val="center"/>
          </w:tcPr>
          <w:p w14:paraId="466C127C">
            <w:pPr>
              <w:spacing w:line="300" w:lineRule="auto"/>
              <w:jc w:val="center"/>
              <w:rPr>
                <w:rFonts w:ascii="宋体" w:hAnsi="宋体" w:cs="宋体"/>
                <w:color w:val="000000"/>
                <w:szCs w:val="21"/>
              </w:rPr>
            </w:pPr>
          </w:p>
        </w:tc>
        <w:tc>
          <w:tcPr>
            <w:tcW w:w="957" w:type="pct"/>
            <w:tcBorders>
              <w:top w:val="single" w:color="000000" w:sz="4" w:space="0"/>
              <w:left w:val="single" w:color="000000" w:sz="4" w:space="0"/>
              <w:bottom w:val="single" w:color="000000" w:sz="4" w:space="0"/>
              <w:right w:val="single" w:color="000000" w:sz="4" w:space="0"/>
            </w:tcBorders>
            <w:vAlign w:val="center"/>
          </w:tcPr>
          <w:p w14:paraId="6E3107DE">
            <w:pPr>
              <w:widowControl/>
              <w:spacing w:line="300" w:lineRule="auto"/>
              <w:jc w:val="both"/>
              <w:textAlignment w:val="top"/>
              <w:rPr>
                <w:rFonts w:ascii="宋体" w:hAnsi="宋体" w:cs="宋体"/>
                <w:color w:val="000000"/>
                <w:szCs w:val="21"/>
              </w:rPr>
            </w:pPr>
            <w:r>
              <w:rPr>
                <w:rFonts w:hint="eastAsia" w:ascii="宋体" w:hAnsi="宋体" w:cs="宋体"/>
                <w:color w:val="000000"/>
                <w:kern w:val="0"/>
                <w:sz w:val="21"/>
                <w:szCs w:val="21"/>
                <w:lang w:bidi="ar"/>
              </w:rPr>
              <w:t>退货时效性</w:t>
            </w:r>
          </w:p>
        </w:tc>
        <w:tc>
          <w:tcPr>
            <w:tcW w:w="706" w:type="pct"/>
            <w:tcBorders>
              <w:top w:val="single" w:color="000000" w:sz="4" w:space="0"/>
              <w:left w:val="single" w:color="000000" w:sz="4" w:space="0"/>
              <w:bottom w:val="single" w:color="000000" w:sz="4" w:space="0"/>
              <w:right w:val="single" w:color="000000" w:sz="4" w:space="0"/>
            </w:tcBorders>
            <w:vAlign w:val="center"/>
          </w:tcPr>
          <w:p w14:paraId="4E36E1E0">
            <w:pPr>
              <w:widowControl/>
              <w:spacing w:line="300" w:lineRule="auto"/>
              <w:jc w:val="center"/>
              <w:textAlignment w:val="center"/>
              <w:rPr>
                <w:rFonts w:ascii="宋体" w:hAnsi="宋体" w:cs="宋体"/>
                <w:color w:val="000000"/>
                <w:szCs w:val="21"/>
              </w:rPr>
            </w:pPr>
            <w:r>
              <w:rPr>
                <w:rFonts w:hint="eastAsia" w:ascii="宋体" w:hAnsi="宋体" w:cs="宋体"/>
                <w:color w:val="000000"/>
                <w:kern w:val="0"/>
                <w:sz w:val="21"/>
                <w:szCs w:val="21"/>
                <w:lang w:bidi="ar"/>
              </w:rPr>
              <w:t>4分</w:t>
            </w:r>
          </w:p>
        </w:tc>
        <w:tc>
          <w:tcPr>
            <w:tcW w:w="1997" w:type="pct"/>
            <w:tcBorders>
              <w:top w:val="single" w:color="000000" w:sz="4" w:space="0"/>
              <w:left w:val="single" w:color="000000" w:sz="4" w:space="0"/>
              <w:bottom w:val="single" w:color="000000" w:sz="4" w:space="0"/>
              <w:right w:val="single" w:color="000000" w:sz="4" w:space="0"/>
            </w:tcBorders>
            <w:vAlign w:val="center"/>
          </w:tcPr>
          <w:p w14:paraId="4C61491D">
            <w:pPr>
              <w:widowControl/>
              <w:spacing w:line="300" w:lineRule="auto"/>
              <w:jc w:val="both"/>
              <w:textAlignment w:val="top"/>
              <w:rPr>
                <w:rFonts w:ascii="宋体" w:hAnsi="宋体" w:cs="宋体"/>
                <w:color w:val="000000"/>
                <w:szCs w:val="21"/>
              </w:rPr>
            </w:pPr>
            <w:r>
              <w:rPr>
                <w:rFonts w:hint="eastAsia" w:ascii="宋体" w:hAnsi="宋体" w:cs="宋体"/>
                <w:color w:val="000000"/>
                <w:kern w:val="0"/>
                <w:sz w:val="21"/>
                <w:szCs w:val="21"/>
                <w:lang w:bidi="ar"/>
              </w:rPr>
              <w:t>1、退货和冲单在当月完成，4分。(每月月末3天办理的退货除外），供货公司单据处理不当影响医院当月盘点或结账。 2、在2个自然月完成，2分。 3、超过2个自然月完成不得分</w:t>
            </w:r>
          </w:p>
        </w:tc>
        <w:tc>
          <w:tcPr>
            <w:tcW w:w="421" w:type="pct"/>
            <w:tcBorders>
              <w:top w:val="single" w:color="000000" w:sz="4" w:space="0"/>
              <w:left w:val="single" w:color="000000" w:sz="4" w:space="0"/>
              <w:bottom w:val="single" w:color="000000" w:sz="4" w:space="0"/>
              <w:right w:val="single" w:color="000000" w:sz="4" w:space="0"/>
            </w:tcBorders>
            <w:noWrap/>
            <w:vAlign w:val="center"/>
          </w:tcPr>
          <w:p w14:paraId="009CAEA3">
            <w:pPr>
              <w:spacing w:line="300" w:lineRule="auto"/>
              <w:rPr>
                <w:rFonts w:ascii="宋体" w:hAnsi="宋体" w:cs="宋体"/>
                <w:color w:val="000000"/>
                <w:szCs w:val="21"/>
              </w:rPr>
            </w:pPr>
          </w:p>
        </w:tc>
      </w:tr>
      <w:tr w14:paraId="1A352761">
        <w:tblPrEx>
          <w:tblCellMar>
            <w:top w:w="0" w:type="dxa"/>
            <w:left w:w="108" w:type="dxa"/>
            <w:bottom w:w="0" w:type="dxa"/>
            <w:right w:w="108" w:type="dxa"/>
          </w:tblCellMar>
        </w:tblPrEx>
        <w:trPr>
          <w:trHeight w:val="720" w:hRule="atLeast"/>
        </w:trPr>
        <w:tc>
          <w:tcPr>
            <w:tcW w:w="920" w:type="pct"/>
            <w:vMerge w:val="continue"/>
            <w:tcBorders>
              <w:top w:val="single" w:color="000000" w:sz="4" w:space="0"/>
              <w:left w:val="single" w:color="000000" w:sz="4" w:space="0"/>
              <w:bottom w:val="single" w:color="000000" w:sz="4" w:space="0"/>
              <w:right w:val="single" w:color="000000" w:sz="4" w:space="0"/>
            </w:tcBorders>
            <w:vAlign w:val="center"/>
          </w:tcPr>
          <w:p w14:paraId="21AD5103">
            <w:pPr>
              <w:spacing w:line="300" w:lineRule="auto"/>
              <w:jc w:val="center"/>
              <w:rPr>
                <w:rFonts w:ascii="宋体" w:hAnsi="宋体" w:cs="宋体"/>
                <w:color w:val="000000"/>
                <w:szCs w:val="21"/>
              </w:rPr>
            </w:pPr>
          </w:p>
        </w:tc>
        <w:tc>
          <w:tcPr>
            <w:tcW w:w="957" w:type="pct"/>
            <w:tcBorders>
              <w:top w:val="single" w:color="000000" w:sz="4" w:space="0"/>
              <w:left w:val="single" w:color="000000" w:sz="4" w:space="0"/>
              <w:bottom w:val="single" w:color="000000" w:sz="4" w:space="0"/>
              <w:right w:val="single" w:color="000000" w:sz="4" w:space="0"/>
            </w:tcBorders>
            <w:vAlign w:val="center"/>
          </w:tcPr>
          <w:p w14:paraId="186E553F">
            <w:pPr>
              <w:widowControl/>
              <w:spacing w:line="300" w:lineRule="auto"/>
              <w:jc w:val="both"/>
              <w:textAlignment w:val="top"/>
              <w:rPr>
                <w:rFonts w:ascii="宋体" w:hAnsi="宋体" w:cs="宋体"/>
                <w:color w:val="000000"/>
                <w:szCs w:val="21"/>
              </w:rPr>
            </w:pPr>
            <w:r>
              <w:rPr>
                <w:rFonts w:hint="eastAsia" w:ascii="宋体" w:hAnsi="宋体" w:cs="宋体"/>
                <w:color w:val="000000"/>
                <w:kern w:val="0"/>
                <w:sz w:val="21"/>
                <w:szCs w:val="21"/>
                <w:lang w:bidi="ar"/>
              </w:rPr>
              <w:t>质量投诉处理能力</w:t>
            </w:r>
          </w:p>
        </w:tc>
        <w:tc>
          <w:tcPr>
            <w:tcW w:w="706" w:type="pct"/>
            <w:tcBorders>
              <w:top w:val="single" w:color="000000" w:sz="4" w:space="0"/>
              <w:left w:val="single" w:color="000000" w:sz="4" w:space="0"/>
              <w:bottom w:val="single" w:color="000000" w:sz="4" w:space="0"/>
              <w:right w:val="single" w:color="000000" w:sz="4" w:space="0"/>
            </w:tcBorders>
            <w:vAlign w:val="center"/>
          </w:tcPr>
          <w:p w14:paraId="40743322">
            <w:pPr>
              <w:widowControl/>
              <w:spacing w:line="300" w:lineRule="auto"/>
              <w:jc w:val="center"/>
              <w:textAlignment w:val="center"/>
              <w:rPr>
                <w:rFonts w:ascii="宋体" w:hAnsi="宋体" w:cs="宋体"/>
                <w:color w:val="000000"/>
                <w:szCs w:val="21"/>
              </w:rPr>
            </w:pPr>
            <w:r>
              <w:rPr>
                <w:rFonts w:hint="eastAsia" w:ascii="宋体" w:hAnsi="宋体" w:cs="宋体"/>
                <w:color w:val="000000"/>
                <w:kern w:val="0"/>
                <w:sz w:val="21"/>
                <w:szCs w:val="21"/>
                <w:lang w:bidi="ar"/>
              </w:rPr>
              <w:t>5分</w:t>
            </w:r>
          </w:p>
        </w:tc>
        <w:tc>
          <w:tcPr>
            <w:tcW w:w="1997" w:type="pct"/>
            <w:tcBorders>
              <w:top w:val="single" w:color="000000" w:sz="4" w:space="0"/>
              <w:left w:val="single" w:color="000000" w:sz="4" w:space="0"/>
              <w:bottom w:val="single" w:color="000000" w:sz="4" w:space="0"/>
              <w:right w:val="single" w:color="000000" w:sz="4" w:space="0"/>
            </w:tcBorders>
            <w:vAlign w:val="center"/>
          </w:tcPr>
          <w:p w14:paraId="12C78CEB">
            <w:pPr>
              <w:widowControl/>
              <w:spacing w:line="300" w:lineRule="auto"/>
              <w:jc w:val="both"/>
              <w:textAlignment w:val="top"/>
              <w:rPr>
                <w:rFonts w:ascii="宋体" w:hAnsi="宋体" w:cs="宋体"/>
                <w:color w:val="000000"/>
                <w:szCs w:val="21"/>
              </w:rPr>
            </w:pPr>
            <w:r>
              <w:rPr>
                <w:rFonts w:hint="eastAsia" w:ascii="宋体" w:hAnsi="宋体" w:cs="宋体"/>
                <w:color w:val="000000"/>
                <w:kern w:val="0"/>
                <w:sz w:val="21"/>
                <w:szCs w:val="21"/>
                <w:lang w:bidi="ar"/>
              </w:rPr>
              <w:t>1天内受理，5分。2天内受理，3分。2天后受理不得分</w:t>
            </w:r>
          </w:p>
        </w:tc>
        <w:tc>
          <w:tcPr>
            <w:tcW w:w="421" w:type="pct"/>
            <w:tcBorders>
              <w:top w:val="single" w:color="000000" w:sz="4" w:space="0"/>
              <w:left w:val="single" w:color="000000" w:sz="4" w:space="0"/>
              <w:bottom w:val="single" w:color="000000" w:sz="4" w:space="0"/>
              <w:right w:val="single" w:color="000000" w:sz="4" w:space="0"/>
            </w:tcBorders>
            <w:noWrap/>
            <w:vAlign w:val="center"/>
          </w:tcPr>
          <w:p w14:paraId="0AFA9F71">
            <w:pPr>
              <w:spacing w:line="300" w:lineRule="auto"/>
              <w:rPr>
                <w:rFonts w:ascii="宋体" w:hAnsi="宋体" w:cs="宋体"/>
                <w:color w:val="000000"/>
                <w:szCs w:val="21"/>
              </w:rPr>
            </w:pPr>
          </w:p>
        </w:tc>
      </w:tr>
      <w:tr w14:paraId="0D578C27">
        <w:tblPrEx>
          <w:tblCellMar>
            <w:top w:w="0" w:type="dxa"/>
            <w:left w:w="108" w:type="dxa"/>
            <w:bottom w:w="0" w:type="dxa"/>
            <w:right w:w="108" w:type="dxa"/>
          </w:tblCellMar>
        </w:tblPrEx>
        <w:trPr>
          <w:trHeight w:val="540" w:hRule="atLeast"/>
        </w:trPr>
        <w:tc>
          <w:tcPr>
            <w:tcW w:w="920" w:type="pct"/>
            <w:vMerge w:val="continue"/>
            <w:tcBorders>
              <w:top w:val="single" w:color="000000" w:sz="4" w:space="0"/>
              <w:left w:val="single" w:color="000000" w:sz="4" w:space="0"/>
              <w:bottom w:val="single" w:color="000000" w:sz="4" w:space="0"/>
              <w:right w:val="single" w:color="000000" w:sz="4" w:space="0"/>
            </w:tcBorders>
            <w:vAlign w:val="center"/>
          </w:tcPr>
          <w:p w14:paraId="5696FD03">
            <w:pPr>
              <w:spacing w:line="300" w:lineRule="auto"/>
              <w:jc w:val="center"/>
              <w:rPr>
                <w:rFonts w:ascii="宋体" w:hAnsi="宋体" w:cs="宋体"/>
                <w:color w:val="000000"/>
                <w:szCs w:val="21"/>
              </w:rPr>
            </w:pPr>
          </w:p>
        </w:tc>
        <w:tc>
          <w:tcPr>
            <w:tcW w:w="957" w:type="pct"/>
            <w:tcBorders>
              <w:top w:val="single" w:color="000000" w:sz="4" w:space="0"/>
              <w:left w:val="single" w:color="000000" w:sz="4" w:space="0"/>
              <w:bottom w:val="single" w:color="000000" w:sz="4" w:space="0"/>
              <w:right w:val="single" w:color="000000" w:sz="4" w:space="0"/>
            </w:tcBorders>
            <w:vAlign w:val="center"/>
          </w:tcPr>
          <w:p w14:paraId="6B0F9B05">
            <w:pPr>
              <w:widowControl/>
              <w:spacing w:line="300" w:lineRule="auto"/>
              <w:jc w:val="both"/>
              <w:textAlignment w:val="top"/>
              <w:rPr>
                <w:rFonts w:ascii="宋体" w:hAnsi="宋体" w:cs="宋体"/>
                <w:color w:val="000000"/>
                <w:szCs w:val="21"/>
              </w:rPr>
            </w:pPr>
            <w:r>
              <w:rPr>
                <w:rFonts w:hint="eastAsia" w:ascii="宋体" w:hAnsi="宋体" w:cs="宋体"/>
                <w:color w:val="000000"/>
                <w:kern w:val="0"/>
                <w:sz w:val="21"/>
                <w:szCs w:val="21"/>
                <w:lang w:bidi="ar"/>
              </w:rPr>
              <w:t>断货证明时效</w:t>
            </w:r>
          </w:p>
        </w:tc>
        <w:tc>
          <w:tcPr>
            <w:tcW w:w="706" w:type="pct"/>
            <w:tcBorders>
              <w:top w:val="single" w:color="000000" w:sz="4" w:space="0"/>
              <w:left w:val="single" w:color="000000" w:sz="4" w:space="0"/>
              <w:bottom w:val="single" w:color="000000" w:sz="4" w:space="0"/>
              <w:right w:val="single" w:color="000000" w:sz="4" w:space="0"/>
            </w:tcBorders>
            <w:vAlign w:val="center"/>
          </w:tcPr>
          <w:p w14:paraId="658F0761">
            <w:pPr>
              <w:widowControl/>
              <w:spacing w:line="300" w:lineRule="auto"/>
              <w:jc w:val="center"/>
              <w:textAlignment w:val="center"/>
              <w:rPr>
                <w:rFonts w:ascii="宋体" w:hAnsi="宋体" w:cs="宋体"/>
                <w:color w:val="000000"/>
                <w:szCs w:val="21"/>
              </w:rPr>
            </w:pPr>
            <w:r>
              <w:rPr>
                <w:rFonts w:hint="eastAsia" w:ascii="宋体" w:hAnsi="宋体" w:cs="宋体"/>
                <w:color w:val="000000"/>
                <w:kern w:val="0"/>
                <w:sz w:val="21"/>
                <w:szCs w:val="21"/>
                <w:lang w:bidi="ar"/>
              </w:rPr>
              <w:t>3分</w:t>
            </w:r>
          </w:p>
        </w:tc>
        <w:tc>
          <w:tcPr>
            <w:tcW w:w="1997" w:type="pct"/>
            <w:tcBorders>
              <w:top w:val="single" w:color="000000" w:sz="4" w:space="0"/>
              <w:left w:val="single" w:color="000000" w:sz="4" w:space="0"/>
              <w:bottom w:val="single" w:color="000000" w:sz="4" w:space="0"/>
              <w:right w:val="single" w:color="000000" w:sz="4" w:space="0"/>
            </w:tcBorders>
            <w:vAlign w:val="center"/>
          </w:tcPr>
          <w:p w14:paraId="222502A7">
            <w:pPr>
              <w:widowControl/>
              <w:spacing w:line="300" w:lineRule="auto"/>
              <w:jc w:val="both"/>
              <w:textAlignment w:val="top"/>
              <w:rPr>
                <w:rFonts w:ascii="宋体" w:hAnsi="宋体" w:cs="宋体"/>
                <w:color w:val="000000"/>
                <w:szCs w:val="21"/>
              </w:rPr>
            </w:pPr>
            <w:r>
              <w:rPr>
                <w:rFonts w:hint="eastAsia" w:ascii="宋体" w:hAnsi="宋体" w:cs="宋体"/>
                <w:color w:val="000000"/>
                <w:kern w:val="0"/>
                <w:sz w:val="21"/>
                <w:szCs w:val="21"/>
                <w:lang w:bidi="ar"/>
              </w:rPr>
              <w:t>提前2个月提供停供证明，3分；推迟1个星期减1分</w:t>
            </w:r>
          </w:p>
        </w:tc>
        <w:tc>
          <w:tcPr>
            <w:tcW w:w="421" w:type="pct"/>
            <w:tcBorders>
              <w:top w:val="single" w:color="000000" w:sz="4" w:space="0"/>
              <w:left w:val="single" w:color="000000" w:sz="4" w:space="0"/>
              <w:bottom w:val="single" w:color="000000" w:sz="4" w:space="0"/>
              <w:right w:val="single" w:color="000000" w:sz="4" w:space="0"/>
            </w:tcBorders>
            <w:noWrap/>
            <w:vAlign w:val="center"/>
          </w:tcPr>
          <w:p w14:paraId="3CD93062">
            <w:pPr>
              <w:spacing w:line="300" w:lineRule="auto"/>
              <w:rPr>
                <w:rFonts w:ascii="宋体" w:hAnsi="宋体" w:cs="宋体"/>
                <w:color w:val="000000"/>
                <w:szCs w:val="21"/>
              </w:rPr>
            </w:pPr>
          </w:p>
        </w:tc>
      </w:tr>
      <w:tr w14:paraId="6472E55F">
        <w:tblPrEx>
          <w:tblCellMar>
            <w:top w:w="0" w:type="dxa"/>
            <w:left w:w="108" w:type="dxa"/>
            <w:bottom w:w="0" w:type="dxa"/>
            <w:right w:w="108" w:type="dxa"/>
          </w:tblCellMar>
        </w:tblPrEx>
        <w:trPr>
          <w:trHeight w:val="480" w:hRule="atLeast"/>
        </w:trPr>
        <w:tc>
          <w:tcPr>
            <w:tcW w:w="920" w:type="pct"/>
            <w:vMerge w:val="continue"/>
            <w:tcBorders>
              <w:top w:val="single" w:color="000000" w:sz="4" w:space="0"/>
              <w:left w:val="single" w:color="000000" w:sz="4" w:space="0"/>
              <w:bottom w:val="single" w:color="000000" w:sz="4" w:space="0"/>
              <w:right w:val="single" w:color="000000" w:sz="4" w:space="0"/>
            </w:tcBorders>
            <w:vAlign w:val="center"/>
          </w:tcPr>
          <w:p w14:paraId="07FDD1F9">
            <w:pPr>
              <w:spacing w:line="300" w:lineRule="auto"/>
              <w:jc w:val="center"/>
              <w:rPr>
                <w:rFonts w:ascii="宋体" w:hAnsi="宋体" w:cs="宋体"/>
                <w:color w:val="000000"/>
                <w:szCs w:val="21"/>
              </w:rPr>
            </w:pPr>
          </w:p>
        </w:tc>
        <w:tc>
          <w:tcPr>
            <w:tcW w:w="957" w:type="pct"/>
            <w:tcBorders>
              <w:top w:val="single" w:color="000000" w:sz="4" w:space="0"/>
              <w:left w:val="single" w:color="000000" w:sz="4" w:space="0"/>
              <w:bottom w:val="single" w:color="000000" w:sz="4" w:space="0"/>
              <w:right w:val="single" w:color="000000" w:sz="4" w:space="0"/>
            </w:tcBorders>
            <w:vAlign w:val="center"/>
          </w:tcPr>
          <w:p w14:paraId="0169F51C">
            <w:pPr>
              <w:widowControl/>
              <w:spacing w:line="300" w:lineRule="auto"/>
              <w:jc w:val="both"/>
              <w:textAlignment w:val="top"/>
              <w:rPr>
                <w:rFonts w:ascii="宋体" w:hAnsi="宋体" w:cs="宋体"/>
                <w:color w:val="000000"/>
                <w:szCs w:val="21"/>
              </w:rPr>
            </w:pPr>
            <w:r>
              <w:rPr>
                <w:rFonts w:hint="eastAsia" w:ascii="宋体" w:hAnsi="宋体" w:cs="宋体"/>
                <w:color w:val="000000"/>
                <w:kern w:val="0"/>
                <w:sz w:val="21"/>
                <w:szCs w:val="21"/>
                <w:lang w:bidi="ar"/>
              </w:rPr>
              <w:t>恢复供应时效</w:t>
            </w:r>
          </w:p>
        </w:tc>
        <w:tc>
          <w:tcPr>
            <w:tcW w:w="706" w:type="pct"/>
            <w:tcBorders>
              <w:top w:val="single" w:color="000000" w:sz="4" w:space="0"/>
              <w:left w:val="single" w:color="000000" w:sz="4" w:space="0"/>
              <w:bottom w:val="single" w:color="000000" w:sz="4" w:space="0"/>
              <w:right w:val="single" w:color="000000" w:sz="4" w:space="0"/>
            </w:tcBorders>
            <w:vAlign w:val="center"/>
          </w:tcPr>
          <w:p w14:paraId="35B74243">
            <w:pPr>
              <w:widowControl/>
              <w:spacing w:line="300" w:lineRule="auto"/>
              <w:jc w:val="center"/>
              <w:textAlignment w:val="center"/>
              <w:rPr>
                <w:rFonts w:ascii="宋体" w:hAnsi="宋体" w:cs="宋体"/>
                <w:color w:val="000000"/>
                <w:szCs w:val="21"/>
              </w:rPr>
            </w:pPr>
            <w:r>
              <w:rPr>
                <w:rFonts w:hint="eastAsia" w:ascii="宋体" w:hAnsi="宋体" w:cs="宋体"/>
                <w:color w:val="000000"/>
                <w:kern w:val="0"/>
                <w:sz w:val="21"/>
                <w:szCs w:val="21"/>
                <w:lang w:bidi="ar"/>
              </w:rPr>
              <w:t>2分</w:t>
            </w:r>
          </w:p>
        </w:tc>
        <w:tc>
          <w:tcPr>
            <w:tcW w:w="1997" w:type="pct"/>
            <w:tcBorders>
              <w:top w:val="single" w:color="000000" w:sz="4" w:space="0"/>
              <w:left w:val="single" w:color="000000" w:sz="4" w:space="0"/>
              <w:bottom w:val="single" w:color="000000" w:sz="4" w:space="0"/>
              <w:right w:val="single" w:color="000000" w:sz="4" w:space="0"/>
            </w:tcBorders>
            <w:vAlign w:val="center"/>
          </w:tcPr>
          <w:p w14:paraId="0748F715">
            <w:pPr>
              <w:widowControl/>
              <w:spacing w:line="300" w:lineRule="auto"/>
              <w:jc w:val="both"/>
              <w:textAlignment w:val="top"/>
              <w:rPr>
                <w:rFonts w:ascii="宋体" w:hAnsi="宋体" w:cs="宋体"/>
                <w:color w:val="000000"/>
                <w:szCs w:val="21"/>
              </w:rPr>
            </w:pPr>
            <w:r>
              <w:rPr>
                <w:rFonts w:hint="eastAsia" w:ascii="宋体" w:hAnsi="宋体" w:cs="宋体"/>
                <w:color w:val="000000"/>
                <w:kern w:val="0"/>
                <w:sz w:val="21"/>
                <w:szCs w:val="21"/>
                <w:lang w:bidi="ar"/>
              </w:rPr>
              <w:t>药房停药前恢复供应，2分；推迟1个星期减1分</w:t>
            </w:r>
          </w:p>
        </w:tc>
        <w:tc>
          <w:tcPr>
            <w:tcW w:w="421" w:type="pct"/>
            <w:tcBorders>
              <w:top w:val="single" w:color="000000" w:sz="4" w:space="0"/>
              <w:left w:val="single" w:color="000000" w:sz="4" w:space="0"/>
              <w:bottom w:val="single" w:color="000000" w:sz="4" w:space="0"/>
              <w:right w:val="single" w:color="000000" w:sz="4" w:space="0"/>
            </w:tcBorders>
            <w:noWrap/>
            <w:vAlign w:val="center"/>
          </w:tcPr>
          <w:p w14:paraId="417560AB">
            <w:pPr>
              <w:spacing w:line="300" w:lineRule="auto"/>
              <w:rPr>
                <w:rFonts w:ascii="宋体" w:hAnsi="宋体" w:cs="宋体"/>
                <w:color w:val="000000"/>
                <w:szCs w:val="21"/>
              </w:rPr>
            </w:pPr>
          </w:p>
        </w:tc>
      </w:tr>
      <w:tr w14:paraId="6A601FF5">
        <w:tblPrEx>
          <w:tblCellMar>
            <w:top w:w="0" w:type="dxa"/>
            <w:left w:w="108" w:type="dxa"/>
            <w:bottom w:w="0" w:type="dxa"/>
            <w:right w:w="108" w:type="dxa"/>
          </w:tblCellMar>
        </w:tblPrEx>
        <w:trPr>
          <w:trHeight w:val="480" w:hRule="atLeast"/>
        </w:trPr>
        <w:tc>
          <w:tcPr>
            <w:tcW w:w="920" w:type="pct"/>
            <w:vMerge w:val="continue"/>
            <w:tcBorders>
              <w:top w:val="single" w:color="000000" w:sz="4" w:space="0"/>
              <w:left w:val="single" w:color="000000" w:sz="4" w:space="0"/>
              <w:bottom w:val="single" w:color="000000" w:sz="4" w:space="0"/>
              <w:right w:val="single" w:color="000000" w:sz="4" w:space="0"/>
            </w:tcBorders>
            <w:vAlign w:val="center"/>
          </w:tcPr>
          <w:p w14:paraId="0B07C34A">
            <w:pPr>
              <w:spacing w:line="300" w:lineRule="auto"/>
              <w:jc w:val="center"/>
              <w:rPr>
                <w:rFonts w:ascii="宋体" w:hAnsi="宋体" w:cs="宋体"/>
                <w:color w:val="000000"/>
                <w:szCs w:val="21"/>
              </w:rPr>
            </w:pPr>
          </w:p>
        </w:tc>
        <w:tc>
          <w:tcPr>
            <w:tcW w:w="957" w:type="pct"/>
            <w:tcBorders>
              <w:top w:val="single" w:color="000000" w:sz="4" w:space="0"/>
              <w:left w:val="single" w:color="000000" w:sz="4" w:space="0"/>
              <w:bottom w:val="single" w:color="000000" w:sz="4" w:space="0"/>
              <w:right w:val="single" w:color="000000" w:sz="4" w:space="0"/>
            </w:tcBorders>
            <w:vAlign w:val="center"/>
          </w:tcPr>
          <w:p w14:paraId="5EC733D7">
            <w:pPr>
              <w:widowControl/>
              <w:spacing w:line="300" w:lineRule="auto"/>
              <w:jc w:val="both"/>
              <w:textAlignment w:val="top"/>
              <w:rPr>
                <w:rFonts w:ascii="宋体" w:hAnsi="宋体" w:cs="宋体"/>
                <w:color w:val="000000"/>
                <w:szCs w:val="21"/>
              </w:rPr>
            </w:pPr>
            <w:r>
              <w:rPr>
                <w:rFonts w:hint="eastAsia" w:ascii="宋体" w:hAnsi="宋体" w:cs="宋体"/>
                <w:color w:val="000000"/>
                <w:kern w:val="0"/>
                <w:sz w:val="21"/>
                <w:szCs w:val="21"/>
                <w:lang w:bidi="ar"/>
              </w:rPr>
              <w:t>滞销药品处理能力</w:t>
            </w:r>
          </w:p>
        </w:tc>
        <w:tc>
          <w:tcPr>
            <w:tcW w:w="706" w:type="pct"/>
            <w:tcBorders>
              <w:top w:val="single" w:color="000000" w:sz="4" w:space="0"/>
              <w:left w:val="single" w:color="000000" w:sz="4" w:space="0"/>
              <w:bottom w:val="single" w:color="000000" w:sz="4" w:space="0"/>
              <w:right w:val="single" w:color="000000" w:sz="4" w:space="0"/>
            </w:tcBorders>
            <w:vAlign w:val="center"/>
          </w:tcPr>
          <w:p w14:paraId="5E2DD435">
            <w:pPr>
              <w:widowControl/>
              <w:spacing w:line="300" w:lineRule="auto"/>
              <w:jc w:val="center"/>
              <w:textAlignment w:val="center"/>
              <w:rPr>
                <w:rFonts w:ascii="宋体" w:hAnsi="宋体" w:cs="宋体"/>
                <w:color w:val="000000"/>
                <w:szCs w:val="21"/>
              </w:rPr>
            </w:pPr>
            <w:r>
              <w:rPr>
                <w:rFonts w:hint="eastAsia" w:ascii="宋体" w:hAnsi="宋体" w:cs="宋体"/>
                <w:color w:val="000000"/>
                <w:kern w:val="0"/>
                <w:sz w:val="21"/>
                <w:szCs w:val="21"/>
                <w:lang w:bidi="ar"/>
              </w:rPr>
              <w:t>2分</w:t>
            </w:r>
          </w:p>
        </w:tc>
        <w:tc>
          <w:tcPr>
            <w:tcW w:w="1997" w:type="pct"/>
            <w:tcBorders>
              <w:top w:val="single" w:color="000000" w:sz="4" w:space="0"/>
              <w:left w:val="single" w:color="000000" w:sz="4" w:space="0"/>
              <w:bottom w:val="single" w:color="000000" w:sz="4" w:space="0"/>
              <w:right w:val="single" w:color="000000" w:sz="4" w:space="0"/>
            </w:tcBorders>
            <w:vAlign w:val="center"/>
          </w:tcPr>
          <w:p w14:paraId="76576080">
            <w:pPr>
              <w:widowControl/>
              <w:spacing w:line="300" w:lineRule="auto"/>
              <w:jc w:val="both"/>
              <w:textAlignment w:val="top"/>
              <w:rPr>
                <w:rFonts w:ascii="宋体" w:hAnsi="宋体" w:cs="宋体"/>
                <w:color w:val="000000"/>
                <w:szCs w:val="21"/>
              </w:rPr>
            </w:pPr>
            <w:r>
              <w:rPr>
                <w:rFonts w:hint="eastAsia" w:ascii="宋体" w:hAnsi="宋体" w:cs="宋体"/>
                <w:color w:val="000000"/>
                <w:kern w:val="0"/>
                <w:sz w:val="21"/>
                <w:szCs w:val="21"/>
                <w:lang w:bidi="ar"/>
              </w:rPr>
              <w:t>满意2分，一般满意1分，不满意0分</w:t>
            </w:r>
          </w:p>
        </w:tc>
        <w:tc>
          <w:tcPr>
            <w:tcW w:w="421" w:type="pct"/>
            <w:tcBorders>
              <w:top w:val="single" w:color="000000" w:sz="4" w:space="0"/>
              <w:left w:val="single" w:color="000000" w:sz="4" w:space="0"/>
              <w:bottom w:val="single" w:color="000000" w:sz="4" w:space="0"/>
              <w:right w:val="single" w:color="000000" w:sz="4" w:space="0"/>
            </w:tcBorders>
            <w:noWrap/>
            <w:vAlign w:val="center"/>
          </w:tcPr>
          <w:p w14:paraId="3CD3D406">
            <w:pPr>
              <w:spacing w:line="300" w:lineRule="auto"/>
              <w:rPr>
                <w:rFonts w:ascii="宋体" w:hAnsi="宋体" w:cs="宋体"/>
                <w:color w:val="000000"/>
                <w:szCs w:val="21"/>
              </w:rPr>
            </w:pPr>
          </w:p>
        </w:tc>
      </w:tr>
      <w:tr w14:paraId="7E658476">
        <w:tblPrEx>
          <w:tblCellMar>
            <w:top w:w="0" w:type="dxa"/>
            <w:left w:w="108" w:type="dxa"/>
            <w:bottom w:w="0" w:type="dxa"/>
            <w:right w:w="108" w:type="dxa"/>
          </w:tblCellMar>
        </w:tblPrEx>
        <w:trPr>
          <w:trHeight w:val="480" w:hRule="atLeast"/>
        </w:trPr>
        <w:tc>
          <w:tcPr>
            <w:tcW w:w="920" w:type="pct"/>
            <w:vMerge w:val="restart"/>
            <w:tcBorders>
              <w:top w:val="single" w:color="000000" w:sz="4" w:space="0"/>
              <w:left w:val="single" w:color="000000" w:sz="4" w:space="0"/>
              <w:bottom w:val="single" w:color="000000" w:sz="4" w:space="0"/>
              <w:right w:val="single" w:color="000000" w:sz="4" w:space="0"/>
            </w:tcBorders>
            <w:vAlign w:val="center"/>
          </w:tcPr>
          <w:p w14:paraId="160AC4D9">
            <w:pPr>
              <w:widowControl/>
              <w:spacing w:line="300" w:lineRule="auto"/>
              <w:jc w:val="center"/>
              <w:textAlignment w:val="center"/>
              <w:rPr>
                <w:rFonts w:ascii="宋体" w:hAnsi="宋体" w:cs="宋体"/>
                <w:color w:val="000000"/>
                <w:szCs w:val="21"/>
              </w:rPr>
            </w:pPr>
            <w:r>
              <w:rPr>
                <w:rFonts w:hint="eastAsia" w:ascii="宋体" w:hAnsi="宋体" w:cs="宋体"/>
                <w:color w:val="000000"/>
                <w:kern w:val="0"/>
                <w:sz w:val="21"/>
                <w:szCs w:val="21"/>
                <w:lang w:bidi="ar"/>
              </w:rPr>
              <w:t>新药资料（7分）</w:t>
            </w:r>
          </w:p>
        </w:tc>
        <w:tc>
          <w:tcPr>
            <w:tcW w:w="957" w:type="pct"/>
            <w:tcBorders>
              <w:top w:val="single" w:color="000000" w:sz="4" w:space="0"/>
              <w:left w:val="single" w:color="000000" w:sz="4" w:space="0"/>
              <w:bottom w:val="single" w:color="000000" w:sz="4" w:space="0"/>
              <w:right w:val="single" w:color="000000" w:sz="4" w:space="0"/>
            </w:tcBorders>
            <w:vAlign w:val="center"/>
          </w:tcPr>
          <w:p w14:paraId="301A1E18">
            <w:pPr>
              <w:widowControl/>
              <w:spacing w:line="300" w:lineRule="auto"/>
              <w:jc w:val="both"/>
              <w:textAlignment w:val="top"/>
              <w:rPr>
                <w:rFonts w:ascii="宋体" w:hAnsi="宋体" w:cs="宋体"/>
                <w:color w:val="000000"/>
                <w:szCs w:val="21"/>
              </w:rPr>
            </w:pPr>
            <w:r>
              <w:rPr>
                <w:rFonts w:hint="eastAsia" w:ascii="宋体" w:hAnsi="宋体" w:cs="宋体"/>
                <w:color w:val="000000"/>
                <w:kern w:val="0"/>
                <w:sz w:val="21"/>
                <w:szCs w:val="21"/>
                <w:lang w:bidi="ar"/>
              </w:rPr>
              <w:t>新药资料送达时间</w:t>
            </w:r>
          </w:p>
        </w:tc>
        <w:tc>
          <w:tcPr>
            <w:tcW w:w="706" w:type="pct"/>
            <w:tcBorders>
              <w:top w:val="single" w:color="000000" w:sz="4" w:space="0"/>
              <w:left w:val="single" w:color="000000" w:sz="4" w:space="0"/>
              <w:bottom w:val="single" w:color="000000" w:sz="4" w:space="0"/>
              <w:right w:val="single" w:color="000000" w:sz="4" w:space="0"/>
            </w:tcBorders>
            <w:vAlign w:val="center"/>
          </w:tcPr>
          <w:p w14:paraId="62EBB453">
            <w:pPr>
              <w:widowControl/>
              <w:spacing w:line="300" w:lineRule="auto"/>
              <w:jc w:val="center"/>
              <w:textAlignment w:val="center"/>
              <w:rPr>
                <w:rFonts w:ascii="宋体" w:hAnsi="宋体" w:cs="宋体"/>
                <w:color w:val="000000"/>
                <w:szCs w:val="21"/>
              </w:rPr>
            </w:pPr>
            <w:r>
              <w:rPr>
                <w:rFonts w:hint="eastAsia" w:ascii="宋体" w:hAnsi="宋体" w:cs="宋体"/>
                <w:color w:val="000000"/>
                <w:kern w:val="0"/>
                <w:sz w:val="21"/>
                <w:szCs w:val="21"/>
                <w:lang w:bidi="ar"/>
              </w:rPr>
              <w:t>2分</w:t>
            </w:r>
          </w:p>
        </w:tc>
        <w:tc>
          <w:tcPr>
            <w:tcW w:w="1997" w:type="pct"/>
            <w:tcBorders>
              <w:top w:val="single" w:color="000000" w:sz="4" w:space="0"/>
              <w:left w:val="single" w:color="000000" w:sz="4" w:space="0"/>
              <w:bottom w:val="single" w:color="000000" w:sz="4" w:space="0"/>
              <w:right w:val="single" w:color="000000" w:sz="4" w:space="0"/>
            </w:tcBorders>
            <w:vAlign w:val="center"/>
          </w:tcPr>
          <w:p w14:paraId="44875D3F">
            <w:pPr>
              <w:widowControl/>
              <w:spacing w:line="300" w:lineRule="auto"/>
              <w:jc w:val="both"/>
              <w:textAlignment w:val="top"/>
              <w:rPr>
                <w:rFonts w:ascii="宋体" w:hAnsi="宋体" w:cs="宋体"/>
                <w:color w:val="000000"/>
                <w:szCs w:val="21"/>
              </w:rPr>
            </w:pPr>
            <w:r>
              <w:rPr>
                <w:rFonts w:hint="eastAsia" w:ascii="宋体" w:hAnsi="宋体" w:cs="宋体"/>
                <w:color w:val="000000"/>
                <w:kern w:val="0"/>
                <w:sz w:val="21"/>
                <w:szCs w:val="21"/>
                <w:lang w:bidi="ar"/>
              </w:rPr>
              <w:t>1周内将资料备齐，2分；1周以上，不得分</w:t>
            </w:r>
          </w:p>
        </w:tc>
        <w:tc>
          <w:tcPr>
            <w:tcW w:w="421" w:type="pct"/>
            <w:tcBorders>
              <w:top w:val="single" w:color="000000" w:sz="4" w:space="0"/>
              <w:left w:val="single" w:color="000000" w:sz="4" w:space="0"/>
              <w:bottom w:val="single" w:color="000000" w:sz="4" w:space="0"/>
              <w:right w:val="single" w:color="000000" w:sz="4" w:space="0"/>
            </w:tcBorders>
            <w:noWrap/>
            <w:vAlign w:val="center"/>
          </w:tcPr>
          <w:p w14:paraId="1501040E">
            <w:pPr>
              <w:spacing w:line="300" w:lineRule="auto"/>
              <w:rPr>
                <w:rFonts w:ascii="宋体" w:hAnsi="宋体" w:cs="宋体"/>
                <w:color w:val="000000"/>
                <w:szCs w:val="21"/>
              </w:rPr>
            </w:pPr>
          </w:p>
        </w:tc>
      </w:tr>
      <w:tr w14:paraId="4632850C">
        <w:tblPrEx>
          <w:tblCellMar>
            <w:top w:w="0" w:type="dxa"/>
            <w:left w:w="108" w:type="dxa"/>
            <w:bottom w:w="0" w:type="dxa"/>
            <w:right w:w="108" w:type="dxa"/>
          </w:tblCellMar>
        </w:tblPrEx>
        <w:trPr>
          <w:trHeight w:val="540" w:hRule="atLeast"/>
        </w:trPr>
        <w:tc>
          <w:tcPr>
            <w:tcW w:w="920" w:type="pct"/>
            <w:vMerge w:val="continue"/>
            <w:tcBorders>
              <w:top w:val="single" w:color="000000" w:sz="4" w:space="0"/>
              <w:left w:val="single" w:color="000000" w:sz="4" w:space="0"/>
              <w:bottom w:val="single" w:color="000000" w:sz="4" w:space="0"/>
              <w:right w:val="single" w:color="000000" w:sz="4" w:space="0"/>
            </w:tcBorders>
            <w:vAlign w:val="center"/>
          </w:tcPr>
          <w:p w14:paraId="027354B9">
            <w:pPr>
              <w:spacing w:line="300" w:lineRule="auto"/>
              <w:jc w:val="center"/>
              <w:rPr>
                <w:rFonts w:ascii="宋体" w:hAnsi="宋体" w:cs="宋体"/>
                <w:color w:val="000000"/>
                <w:szCs w:val="21"/>
              </w:rPr>
            </w:pPr>
          </w:p>
        </w:tc>
        <w:tc>
          <w:tcPr>
            <w:tcW w:w="957" w:type="pct"/>
            <w:tcBorders>
              <w:top w:val="single" w:color="000000" w:sz="4" w:space="0"/>
              <w:left w:val="single" w:color="000000" w:sz="4" w:space="0"/>
              <w:bottom w:val="single" w:color="000000" w:sz="4" w:space="0"/>
              <w:right w:val="single" w:color="000000" w:sz="4" w:space="0"/>
            </w:tcBorders>
            <w:vAlign w:val="center"/>
          </w:tcPr>
          <w:p w14:paraId="7B9C3BBB">
            <w:pPr>
              <w:widowControl/>
              <w:spacing w:line="300" w:lineRule="auto"/>
              <w:jc w:val="both"/>
              <w:textAlignment w:val="top"/>
              <w:rPr>
                <w:rFonts w:ascii="宋体" w:hAnsi="宋体" w:cs="宋体"/>
                <w:color w:val="000000"/>
                <w:szCs w:val="21"/>
              </w:rPr>
            </w:pPr>
            <w:r>
              <w:rPr>
                <w:rFonts w:hint="eastAsia" w:ascii="宋体" w:hAnsi="宋体" w:cs="宋体"/>
                <w:color w:val="000000"/>
                <w:kern w:val="0"/>
                <w:sz w:val="21"/>
                <w:szCs w:val="21"/>
                <w:lang w:bidi="ar"/>
              </w:rPr>
              <w:t>新药资料准确度</w:t>
            </w:r>
          </w:p>
        </w:tc>
        <w:tc>
          <w:tcPr>
            <w:tcW w:w="706" w:type="pct"/>
            <w:tcBorders>
              <w:top w:val="single" w:color="000000" w:sz="4" w:space="0"/>
              <w:left w:val="single" w:color="000000" w:sz="4" w:space="0"/>
              <w:bottom w:val="single" w:color="000000" w:sz="4" w:space="0"/>
              <w:right w:val="single" w:color="000000" w:sz="4" w:space="0"/>
            </w:tcBorders>
            <w:vAlign w:val="center"/>
          </w:tcPr>
          <w:p w14:paraId="0A953607">
            <w:pPr>
              <w:widowControl/>
              <w:spacing w:line="300" w:lineRule="auto"/>
              <w:jc w:val="center"/>
              <w:textAlignment w:val="center"/>
              <w:rPr>
                <w:rFonts w:ascii="宋体" w:hAnsi="宋体" w:cs="宋体"/>
                <w:color w:val="000000"/>
                <w:szCs w:val="21"/>
              </w:rPr>
            </w:pPr>
            <w:r>
              <w:rPr>
                <w:rFonts w:hint="eastAsia" w:ascii="宋体" w:hAnsi="宋体" w:cs="宋体"/>
                <w:color w:val="000000"/>
                <w:kern w:val="0"/>
                <w:sz w:val="21"/>
                <w:szCs w:val="21"/>
                <w:lang w:bidi="ar"/>
              </w:rPr>
              <w:t>5分</w:t>
            </w:r>
          </w:p>
        </w:tc>
        <w:tc>
          <w:tcPr>
            <w:tcW w:w="1997" w:type="pct"/>
            <w:tcBorders>
              <w:top w:val="single" w:color="000000" w:sz="4" w:space="0"/>
              <w:left w:val="single" w:color="000000" w:sz="4" w:space="0"/>
              <w:bottom w:val="single" w:color="000000" w:sz="4" w:space="0"/>
              <w:right w:val="single" w:color="000000" w:sz="4" w:space="0"/>
            </w:tcBorders>
            <w:vAlign w:val="center"/>
          </w:tcPr>
          <w:p w14:paraId="6C33C589">
            <w:pPr>
              <w:widowControl/>
              <w:spacing w:line="300" w:lineRule="auto"/>
              <w:jc w:val="both"/>
              <w:textAlignment w:val="top"/>
              <w:rPr>
                <w:rFonts w:ascii="宋体" w:hAnsi="宋体" w:cs="宋体"/>
                <w:color w:val="000000"/>
                <w:szCs w:val="21"/>
              </w:rPr>
            </w:pPr>
            <w:r>
              <w:rPr>
                <w:rFonts w:hint="eastAsia" w:ascii="宋体" w:hAnsi="宋体" w:cs="宋体"/>
                <w:color w:val="000000"/>
                <w:kern w:val="0"/>
                <w:sz w:val="21"/>
                <w:szCs w:val="21"/>
                <w:lang w:bidi="ar"/>
              </w:rPr>
              <w:t>信息准确,得5分；提供虚假信息或隐瞒信息,不得分</w:t>
            </w:r>
          </w:p>
        </w:tc>
        <w:tc>
          <w:tcPr>
            <w:tcW w:w="421" w:type="pct"/>
            <w:tcBorders>
              <w:top w:val="single" w:color="000000" w:sz="4" w:space="0"/>
              <w:left w:val="single" w:color="000000" w:sz="4" w:space="0"/>
              <w:bottom w:val="single" w:color="000000" w:sz="4" w:space="0"/>
              <w:right w:val="single" w:color="000000" w:sz="4" w:space="0"/>
            </w:tcBorders>
            <w:noWrap/>
            <w:vAlign w:val="center"/>
          </w:tcPr>
          <w:p w14:paraId="462336EF">
            <w:pPr>
              <w:spacing w:line="300" w:lineRule="auto"/>
              <w:rPr>
                <w:rFonts w:ascii="宋体" w:hAnsi="宋体" w:cs="宋体"/>
                <w:color w:val="000000"/>
                <w:szCs w:val="21"/>
              </w:rPr>
            </w:pPr>
          </w:p>
        </w:tc>
      </w:tr>
      <w:tr w14:paraId="0480BC27">
        <w:tblPrEx>
          <w:tblCellMar>
            <w:top w:w="0" w:type="dxa"/>
            <w:left w:w="108" w:type="dxa"/>
            <w:bottom w:w="0" w:type="dxa"/>
            <w:right w:w="108" w:type="dxa"/>
          </w:tblCellMar>
        </w:tblPrEx>
        <w:trPr>
          <w:trHeight w:val="720" w:hRule="atLeast"/>
        </w:trPr>
        <w:tc>
          <w:tcPr>
            <w:tcW w:w="920" w:type="pct"/>
            <w:vMerge w:val="restart"/>
            <w:tcBorders>
              <w:top w:val="single" w:color="000000" w:sz="4" w:space="0"/>
              <w:left w:val="single" w:color="000000" w:sz="4" w:space="0"/>
              <w:bottom w:val="single" w:color="000000" w:sz="4" w:space="0"/>
              <w:right w:val="single" w:color="000000" w:sz="4" w:space="0"/>
            </w:tcBorders>
            <w:vAlign w:val="center"/>
          </w:tcPr>
          <w:p w14:paraId="584895A4">
            <w:pPr>
              <w:widowControl/>
              <w:spacing w:line="300" w:lineRule="auto"/>
              <w:jc w:val="center"/>
              <w:textAlignment w:val="center"/>
              <w:rPr>
                <w:rFonts w:ascii="宋体" w:hAnsi="宋体" w:cs="宋体"/>
                <w:color w:val="000000"/>
                <w:szCs w:val="21"/>
              </w:rPr>
            </w:pPr>
            <w:r>
              <w:rPr>
                <w:rFonts w:hint="eastAsia" w:ascii="宋体" w:hAnsi="宋体" w:cs="宋体"/>
                <w:color w:val="000000"/>
                <w:kern w:val="0"/>
                <w:sz w:val="21"/>
                <w:szCs w:val="21"/>
                <w:lang w:bidi="ar"/>
              </w:rPr>
              <w:t>价格调整（7分）</w:t>
            </w:r>
          </w:p>
        </w:tc>
        <w:tc>
          <w:tcPr>
            <w:tcW w:w="957" w:type="pct"/>
            <w:tcBorders>
              <w:top w:val="single" w:color="000000" w:sz="4" w:space="0"/>
              <w:left w:val="single" w:color="000000" w:sz="4" w:space="0"/>
              <w:bottom w:val="single" w:color="000000" w:sz="4" w:space="0"/>
              <w:right w:val="single" w:color="000000" w:sz="4" w:space="0"/>
            </w:tcBorders>
            <w:vAlign w:val="center"/>
          </w:tcPr>
          <w:p w14:paraId="7BA21661">
            <w:pPr>
              <w:widowControl/>
              <w:spacing w:line="300" w:lineRule="auto"/>
              <w:jc w:val="both"/>
              <w:textAlignment w:val="top"/>
              <w:rPr>
                <w:rFonts w:ascii="宋体" w:hAnsi="宋体" w:cs="宋体"/>
                <w:color w:val="000000"/>
                <w:szCs w:val="21"/>
              </w:rPr>
            </w:pPr>
            <w:r>
              <w:rPr>
                <w:rFonts w:hint="eastAsia" w:ascii="宋体" w:hAnsi="宋体" w:cs="宋体"/>
                <w:color w:val="000000"/>
                <w:kern w:val="0"/>
                <w:sz w:val="21"/>
                <w:szCs w:val="21"/>
                <w:lang w:bidi="ar"/>
              </w:rPr>
              <w:t>价格调整送达时间</w:t>
            </w:r>
          </w:p>
        </w:tc>
        <w:tc>
          <w:tcPr>
            <w:tcW w:w="706" w:type="pct"/>
            <w:tcBorders>
              <w:top w:val="single" w:color="000000" w:sz="4" w:space="0"/>
              <w:left w:val="single" w:color="000000" w:sz="4" w:space="0"/>
              <w:bottom w:val="single" w:color="000000" w:sz="4" w:space="0"/>
              <w:right w:val="single" w:color="000000" w:sz="4" w:space="0"/>
            </w:tcBorders>
            <w:vAlign w:val="center"/>
          </w:tcPr>
          <w:p w14:paraId="323F0258">
            <w:pPr>
              <w:widowControl/>
              <w:spacing w:line="300" w:lineRule="auto"/>
              <w:jc w:val="center"/>
              <w:textAlignment w:val="center"/>
              <w:rPr>
                <w:rFonts w:ascii="宋体" w:hAnsi="宋体" w:cs="宋体"/>
                <w:color w:val="000000"/>
                <w:szCs w:val="21"/>
              </w:rPr>
            </w:pPr>
            <w:r>
              <w:rPr>
                <w:rFonts w:hint="eastAsia" w:ascii="宋体" w:hAnsi="宋体" w:cs="宋体"/>
                <w:color w:val="000000"/>
                <w:kern w:val="0"/>
                <w:sz w:val="21"/>
                <w:szCs w:val="21"/>
                <w:lang w:bidi="ar"/>
              </w:rPr>
              <w:t>2分</w:t>
            </w:r>
          </w:p>
        </w:tc>
        <w:tc>
          <w:tcPr>
            <w:tcW w:w="1997" w:type="pct"/>
            <w:tcBorders>
              <w:top w:val="single" w:color="000000" w:sz="4" w:space="0"/>
              <w:left w:val="single" w:color="000000" w:sz="4" w:space="0"/>
              <w:bottom w:val="single" w:color="000000" w:sz="4" w:space="0"/>
              <w:right w:val="single" w:color="000000" w:sz="4" w:space="0"/>
            </w:tcBorders>
            <w:vAlign w:val="center"/>
          </w:tcPr>
          <w:p w14:paraId="7361A499">
            <w:pPr>
              <w:widowControl/>
              <w:spacing w:line="300" w:lineRule="auto"/>
              <w:jc w:val="both"/>
              <w:textAlignment w:val="top"/>
              <w:rPr>
                <w:rFonts w:ascii="宋体" w:hAnsi="宋体" w:cs="宋体"/>
                <w:color w:val="000000"/>
                <w:szCs w:val="21"/>
              </w:rPr>
            </w:pPr>
            <w:r>
              <w:rPr>
                <w:rFonts w:hint="eastAsia" w:ascii="宋体" w:hAnsi="宋体" w:cs="宋体"/>
                <w:color w:val="000000"/>
                <w:kern w:val="0"/>
                <w:sz w:val="21"/>
                <w:szCs w:val="21"/>
                <w:lang w:bidi="ar"/>
              </w:rPr>
              <w:t>在规定时间内提供的，2分；超过2周以上未送齐，不得分</w:t>
            </w:r>
          </w:p>
        </w:tc>
        <w:tc>
          <w:tcPr>
            <w:tcW w:w="421" w:type="pct"/>
            <w:tcBorders>
              <w:top w:val="single" w:color="000000" w:sz="4" w:space="0"/>
              <w:left w:val="single" w:color="000000" w:sz="4" w:space="0"/>
              <w:bottom w:val="single" w:color="000000" w:sz="4" w:space="0"/>
              <w:right w:val="single" w:color="000000" w:sz="4" w:space="0"/>
            </w:tcBorders>
            <w:noWrap/>
            <w:vAlign w:val="center"/>
          </w:tcPr>
          <w:p w14:paraId="6243350B">
            <w:pPr>
              <w:spacing w:line="300" w:lineRule="auto"/>
              <w:rPr>
                <w:rFonts w:ascii="宋体" w:hAnsi="宋体" w:cs="宋体"/>
                <w:color w:val="000000"/>
                <w:szCs w:val="21"/>
              </w:rPr>
            </w:pPr>
          </w:p>
        </w:tc>
      </w:tr>
      <w:tr w14:paraId="0772DC95">
        <w:tblPrEx>
          <w:tblCellMar>
            <w:top w:w="0" w:type="dxa"/>
            <w:left w:w="108" w:type="dxa"/>
            <w:bottom w:w="0" w:type="dxa"/>
            <w:right w:w="108" w:type="dxa"/>
          </w:tblCellMar>
        </w:tblPrEx>
        <w:trPr>
          <w:trHeight w:val="540" w:hRule="atLeast"/>
        </w:trPr>
        <w:tc>
          <w:tcPr>
            <w:tcW w:w="920" w:type="pct"/>
            <w:vMerge w:val="continue"/>
            <w:tcBorders>
              <w:top w:val="single" w:color="000000" w:sz="4" w:space="0"/>
              <w:left w:val="single" w:color="000000" w:sz="4" w:space="0"/>
              <w:bottom w:val="single" w:color="000000" w:sz="4" w:space="0"/>
              <w:right w:val="single" w:color="000000" w:sz="4" w:space="0"/>
            </w:tcBorders>
            <w:vAlign w:val="center"/>
          </w:tcPr>
          <w:p w14:paraId="41A7C5E6">
            <w:pPr>
              <w:spacing w:line="300" w:lineRule="auto"/>
              <w:jc w:val="center"/>
              <w:rPr>
                <w:rFonts w:ascii="宋体" w:hAnsi="宋体" w:cs="宋体"/>
                <w:color w:val="000000"/>
                <w:szCs w:val="21"/>
              </w:rPr>
            </w:pPr>
          </w:p>
        </w:tc>
        <w:tc>
          <w:tcPr>
            <w:tcW w:w="957" w:type="pct"/>
            <w:tcBorders>
              <w:top w:val="single" w:color="000000" w:sz="4" w:space="0"/>
              <w:left w:val="single" w:color="000000" w:sz="4" w:space="0"/>
              <w:bottom w:val="single" w:color="000000" w:sz="4" w:space="0"/>
              <w:right w:val="single" w:color="000000" w:sz="4" w:space="0"/>
            </w:tcBorders>
            <w:vAlign w:val="center"/>
          </w:tcPr>
          <w:p w14:paraId="5CA2ED11">
            <w:pPr>
              <w:widowControl/>
              <w:spacing w:line="300" w:lineRule="auto"/>
              <w:jc w:val="both"/>
              <w:textAlignment w:val="top"/>
              <w:rPr>
                <w:rFonts w:ascii="宋体" w:hAnsi="宋体" w:cs="宋体"/>
                <w:color w:val="000000"/>
                <w:szCs w:val="21"/>
              </w:rPr>
            </w:pPr>
            <w:r>
              <w:rPr>
                <w:rFonts w:hint="eastAsia" w:ascii="宋体" w:hAnsi="宋体" w:cs="宋体"/>
                <w:color w:val="000000"/>
                <w:kern w:val="0"/>
                <w:sz w:val="21"/>
                <w:szCs w:val="21"/>
                <w:lang w:bidi="ar"/>
              </w:rPr>
              <w:t>价格调整资料准确度</w:t>
            </w:r>
          </w:p>
        </w:tc>
        <w:tc>
          <w:tcPr>
            <w:tcW w:w="706" w:type="pct"/>
            <w:tcBorders>
              <w:top w:val="single" w:color="000000" w:sz="4" w:space="0"/>
              <w:left w:val="single" w:color="000000" w:sz="4" w:space="0"/>
              <w:bottom w:val="single" w:color="000000" w:sz="4" w:space="0"/>
              <w:right w:val="single" w:color="000000" w:sz="4" w:space="0"/>
            </w:tcBorders>
            <w:vAlign w:val="center"/>
          </w:tcPr>
          <w:p w14:paraId="03DE1339">
            <w:pPr>
              <w:widowControl/>
              <w:spacing w:line="300" w:lineRule="auto"/>
              <w:jc w:val="center"/>
              <w:textAlignment w:val="center"/>
              <w:rPr>
                <w:rFonts w:ascii="宋体" w:hAnsi="宋体" w:cs="宋体"/>
                <w:color w:val="000000"/>
                <w:szCs w:val="21"/>
              </w:rPr>
            </w:pPr>
            <w:r>
              <w:rPr>
                <w:rFonts w:hint="eastAsia" w:ascii="宋体" w:hAnsi="宋体" w:cs="宋体"/>
                <w:color w:val="000000"/>
                <w:kern w:val="0"/>
                <w:sz w:val="21"/>
                <w:szCs w:val="21"/>
                <w:lang w:bidi="ar"/>
              </w:rPr>
              <w:t>5分</w:t>
            </w:r>
          </w:p>
        </w:tc>
        <w:tc>
          <w:tcPr>
            <w:tcW w:w="1997" w:type="pct"/>
            <w:tcBorders>
              <w:top w:val="single" w:color="000000" w:sz="4" w:space="0"/>
              <w:left w:val="single" w:color="000000" w:sz="4" w:space="0"/>
              <w:bottom w:val="single" w:color="000000" w:sz="4" w:space="0"/>
              <w:right w:val="single" w:color="000000" w:sz="4" w:space="0"/>
            </w:tcBorders>
            <w:vAlign w:val="center"/>
          </w:tcPr>
          <w:p w14:paraId="091DA747">
            <w:pPr>
              <w:widowControl/>
              <w:spacing w:line="300" w:lineRule="auto"/>
              <w:jc w:val="both"/>
              <w:textAlignment w:val="top"/>
              <w:rPr>
                <w:rFonts w:ascii="宋体" w:hAnsi="宋体" w:cs="宋体"/>
                <w:color w:val="000000"/>
                <w:szCs w:val="21"/>
              </w:rPr>
            </w:pPr>
            <w:r>
              <w:rPr>
                <w:rFonts w:hint="eastAsia" w:ascii="宋体" w:hAnsi="宋体" w:cs="宋体"/>
                <w:color w:val="000000"/>
                <w:kern w:val="0"/>
                <w:sz w:val="21"/>
                <w:szCs w:val="21"/>
                <w:lang w:bidi="ar"/>
              </w:rPr>
              <w:t>调价资料准确，5分；错误或缺1项减1分</w:t>
            </w:r>
          </w:p>
        </w:tc>
        <w:tc>
          <w:tcPr>
            <w:tcW w:w="421" w:type="pct"/>
            <w:tcBorders>
              <w:top w:val="single" w:color="000000" w:sz="4" w:space="0"/>
              <w:left w:val="single" w:color="000000" w:sz="4" w:space="0"/>
              <w:bottom w:val="single" w:color="000000" w:sz="4" w:space="0"/>
              <w:right w:val="single" w:color="000000" w:sz="4" w:space="0"/>
            </w:tcBorders>
            <w:noWrap/>
            <w:vAlign w:val="center"/>
          </w:tcPr>
          <w:p w14:paraId="51A7064A">
            <w:pPr>
              <w:spacing w:line="300" w:lineRule="auto"/>
              <w:rPr>
                <w:rFonts w:ascii="宋体" w:hAnsi="宋体" w:cs="宋体"/>
                <w:color w:val="000000"/>
                <w:szCs w:val="21"/>
              </w:rPr>
            </w:pPr>
          </w:p>
        </w:tc>
      </w:tr>
      <w:tr w14:paraId="191B815D">
        <w:tblPrEx>
          <w:tblCellMar>
            <w:top w:w="0" w:type="dxa"/>
            <w:left w:w="108" w:type="dxa"/>
            <w:bottom w:w="0" w:type="dxa"/>
            <w:right w:w="108" w:type="dxa"/>
          </w:tblCellMar>
        </w:tblPrEx>
        <w:trPr>
          <w:trHeight w:val="960" w:hRule="atLeast"/>
        </w:trPr>
        <w:tc>
          <w:tcPr>
            <w:tcW w:w="920" w:type="pct"/>
            <w:vMerge w:val="restart"/>
            <w:tcBorders>
              <w:top w:val="single" w:color="000000" w:sz="4" w:space="0"/>
              <w:left w:val="single" w:color="000000" w:sz="4" w:space="0"/>
              <w:bottom w:val="single" w:color="000000" w:sz="4" w:space="0"/>
              <w:right w:val="single" w:color="000000" w:sz="4" w:space="0"/>
            </w:tcBorders>
            <w:vAlign w:val="center"/>
          </w:tcPr>
          <w:p w14:paraId="33CE124D">
            <w:pPr>
              <w:widowControl/>
              <w:spacing w:line="300" w:lineRule="auto"/>
              <w:jc w:val="center"/>
              <w:textAlignment w:val="center"/>
              <w:rPr>
                <w:ins w:id="2" w:author="YSy" w:date="2025-09-12T09:12:01Z"/>
                <w:rFonts w:hint="eastAsia" w:ascii="宋体" w:hAnsi="宋体" w:cs="宋体"/>
                <w:color w:val="000000"/>
                <w:kern w:val="0"/>
                <w:sz w:val="21"/>
                <w:szCs w:val="21"/>
                <w:lang w:bidi="ar"/>
              </w:rPr>
            </w:pPr>
            <w:r>
              <w:rPr>
                <w:rFonts w:hint="eastAsia" w:ascii="宋体" w:hAnsi="宋体" w:cs="宋体"/>
                <w:color w:val="000000"/>
                <w:kern w:val="0"/>
                <w:sz w:val="21"/>
                <w:szCs w:val="21"/>
                <w:lang w:bidi="ar"/>
              </w:rPr>
              <w:t>业务员考核</w:t>
            </w:r>
          </w:p>
          <w:p w14:paraId="2B75728B">
            <w:pPr>
              <w:widowControl/>
              <w:spacing w:line="300" w:lineRule="auto"/>
              <w:jc w:val="center"/>
              <w:textAlignment w:val="center"/>
              <w:rPr>
                <w:rFonts w:ascii="宋体" w:hAnsi="宋体" w:cs="宋体"/>
                <w:color w:val="000000"/>
                <w:szCs w:val="21"/>
              </w:rPr>
            </w:pPr>
            <w:r>
              <w:rPr>
                <w:rFonts w:hint="eastAsia" w:ascii="宋体" w:hAnsi="宋体" w:cs="宋体"/>
                <w:color w:val="000000"/>
                <w:kern w:val="0"/>
                <w:sz w:val="21"/>
                <w:szCs w:val="21"/>
                <w:lang w:bidi="ar"/>
              </w:rPr>
              <w:t>（10分）</w:t>
            </w:r>
          </w:p>
        </w:tc>
        <w:tc>
          <w:tcPr>
            <w:tcW w:w="957" w:type="pct"/>
            <w:tcBorders>
              <w:top w:val="single" w:color="000000" w:sz="4" w:space="0"/>
              <w:left w:val="single" w:color="000000" w:sz="4" w:space="0"/>
              <w:bottom w:val="single" w:color="000000" w:sz="4" w:space="0"/>
              <w:right w:val="single" w:color="000000" w:sz="4" w:space="0"/>
            </w:tcBorders>
            <w:vAlign w:val="center"/>
          </w:tcPr>
          <w:p w14:paraId="29D1921D">
            <w:pPr>
              <w:widowControl/>
              <w:spacing w:line="300" w:lineRule="auto"/>
              <w:jc w:val="both"/>
              <w:textAlignment w:val="top"/>
              <w:rPr>
                <w:rFonts w:ascii="宋体" w:hAnsi="宋体" w:cs="宋体"/>
                <w:color w:val="000000"/>
                <w:szCs w:val="21"/>
              </w:rPr>
            </w:pPr>
            <w:r>
              <w:rPr>
                <w:rFonts w:hint="eastAsia" w:ascii="宋体" w:hAnsi="宋体" w:cs="宋体"/>
                <w:color w:val="000000"/>
                <w:kern w:val="0"/>
                <w:sz w:val="21"/>
                <w:szCs w:val="21"/>
                <w:lang w:bidi="ar"/>
              </w:rPr>
              <w:t>医药相关专业背景</w:t>
            </w:r>
          </w:p>
        </w:tc>
        <w:tc>
          <w:tcPr>
            <w:tcW w:w="706" w:type="pct"/>
            <w:tcBorders>
              <w:top w:val="single" w:color="000000" w:sz="4" w:space="0"/>
              <w:left w:val="single" w:color="000000" w:sz="4" w:space="0"/>
              <w:bottom w:val="single" w:color="000000" w:sz="4" w:space="0"/>
              <w:right w:val="single" w:color="000000" w:sz="4" w:space="0"/>
            </w:tcBorders>
            <w:vAlign w:val="center"/>
          </w:tcPr>
          <w:p w14:paraId="0083695E">
            <w:pPr>
              <w:widowControl/>
              <w:spacing w:line="300" w:lineRule="auto"/>
              <w:jc w:val="center"/>
              <w:textAlignment w:val="center"/>
              <w:rPr>
                <w:rFonts w:ascii="宋体" w:hAnsi="宋体" w:cs="宋体"/>
                <w:color w:val="000000"/>
                <w:szCs w:val="21"/>
              </w:rPr>
            </w:pPr>
            <w:r>
              <w:rPr>
                <w:rFonts w:hint="eastAsia" w:ascii="宋体" w:hAnsi="宋体" w:cs="宋体"/>
                <w:color w:val="000000"/>
                <w:kern w:val="0"/>
                <w:sz w:val="21"/>
                <w:szCs w:val="21"/>
                <w:lang w:bidi="ar"/>
              </w:rPr>
              <w:t>2分</w:t>
            </w:r>
          </w:p>
        </w:tc>
        <w:tc>
          <w:tcPr>
            <w:tcW w:w="1997" w:type="pct"/>
            <w:tcBorders>
              <w:top w:val="single" w:color="000000" w:sz="4" w:space="0"/>
              <w:left w:val="single" w:color="000000" w:sz="4" w:space="0"/>
              <w:bottom w:val="single" w:color="000000" w:sz="4" w:space="0"/>
              <w:right w:val="single" w:color="000000" w:sz="4" w:space="0"/>
            </w:tcBorders>
            <w:vAlign w:val="center"/>
          </w:tcPr>
          <w:p w14:paraId="7408725D">
            <w:pPr>
              <w:widowControl/>
              <w:spacing w:line="300" w:lineRule="auto"/>
              <w:jc w:val="both"/>
              <w:textAlignment w:val="top"/>
              <w:rPr>
                <w:rFonts w:ascii="宋体" w:hAnsi="宋体" w:cs="宋体"/>
                <w:color w:val="000000"/>
                <w:szCs w:val="21"/>
              </w:rPr>
            </w:pPr>
            <w:r>
              <w:rPr>
                <w:rFonts w:hint="eastAsia" w:ascii="宋体" w:hAnsi="宋体" w:cs="宋体"/>
                <w:color w:val="000000"/>
                <w:kern w:val="0"/>
                <w:sz w:val="21"/>
                <w:szCs w:val="21"/>
                <w:lang w:bidi="ar"/>
              </w:rPr>
              <w:t>中医药、药学相关专业背景，得2分；其他医学、营销管理专业，得1分；不相关专业，不得分</w:t>
            </w:r>
          </w:p>
        </w:tc>
        <w:tc>
          <w:tcPr>
            <w:tcW w:w="421" w:type="pct"/>
            <w:tcBorders>
              <w:top w:val="single" w:color="000000" w:sz="4" w:space="0"/>
              <w:left w:val="single" w:color="000000" w:sz="4" w:space="0"/>
              <w:bottom w:val="single" w:color="000000" w:sz="4" w:space="0"/>
              <w:right w:val="single" w:color="000000" w:sz="4" w:space="0"/>
            </w:tcBorders>
            <w:noWrap/>
            <w:vAlign w:val="center"/>
          </w:tcPr>
          <w:p w14:paraId="017EEECE">
            <w:pPr>
              <w:spacing w:line="300" w:lineRule="auto"/>
              <w:rPr>
                <w:rFonts w:ascii="宋体" w:hAnsi="宋体" w:cs="宋体"/>
                <w:color w:val="000000"/>
                <w:szCs w:val="21"/>
              </w:rPr>
            </w:pPr>
          </w:p>
        </w:tc>
      </w:tr>
      <w:tr w14:paraId="13C6C3A9">
        <w:tblPrEx>
          <w:tblCellMar>
            <w:top w:w="0" w:type="dxa"/>
            <w:left w:w="108" w:type="dxa"/>
            <w:bottom w:w="0" w:type="dxa"/>
            <w:right w:w="108" w:type="dxa"/>
          </w:tblCellMar>
        </w:tblPrEx>
        <w:trPr>
          <w:trHeight w:val="540" w:hRule="atLeast"/>
        </w:trPr>
        <w:tc>
          <w:tcPr>
            <w:tcW w:w="920" w:type="pct"/>
            <w:vMerge w:val="continue"/>
            <w:tcBorders>
              <w:top w:val="single" w:color="000000" w:sz="4" w:space="0"/>
              <w:left w:val="single" w:color="000000" w:sz="4" w:space="0"/>
              <w:bottom w:val="single" w:color="000000" w:sz="4" w:space="0"/>
              <w:right w:val="single" w:color="000000" w:sz="4" w:space="0"/>
            </w:tcBorders>
            <w:vAlign w:val="center"/>
          </w:tcPr>
          <w:p w14:paraId="14B6C8A1">
            <w:pPr>
              <w:spacing w:line="300" w:lineRule="auto"/>
              <w:jc w:val="center"/>
              <w:rPr>
                <w:rFonts w:ascii="宋体" w:hAnsi="宋体" w:cs="宋体"/>
                <w:color w:val="000000"/>
                <w:szCs w:val="21"/>
              </w:rPr>
            </w:pPr>
          </w:p>
        </w:tc>
        <w:tc>
          <w:tcPr>
            <w:tcW w:w="957" w:type="pct"/>
            <w:tcBorders>
              <w:top w:val="single" w:color="000000" w:sz="4" w:space="0"/>
              <w:left w:val="single" w:color="000000" w:sz="4" w:space="0"/>
              <w:bottom w:val="single" w:color="000000" w:sz="4" w:space="0"/>
              <w:right w:val="single" w:color="000000" w:sz="4" w:space="0"/>
            </w:tcBorders>
            <w:vAlign w:val="center"/>
          </w:tcPr>
          <w:p w14:paraId="18F3954A">
            <w:pPr>
              <w:widowControl/>
              <w:spacing w:line="300" w:lineRule="auto"/>
              <w:jc w:val="both"/>
              <w:textAlignment w:val="top"/>
              <w:rPr>
                <w:rFonts w:ascii="宋体" w:hAnsi="宋体" w:cs="宋体"/>
                <w:color w:val="000000"/>
                <w:szCs w:val="21"/>
              </w:rPr>
            </w:pPr>
            <w:r>
              <w:rPr>
                <w:rFonts w:hint="eastAsia" w:ascii="宋体" w:hAnsi="宋体" w:cs="宋体"/>
                <w:color w:val="000000"/>
                <w:kern w:val="0"/>
                <w:sz w:val="21"/>
                <w:szCs w:val="21"/>
                <w:lang w:bidi="ar"/>
              </w:rPr>
              <w:t>业务及相关中药专业知识的掌握情况</w:t>
            </w:r>
          </w:p>
        </w:tc>
        <w:tc>
          <w:tcPr>
            <w:tcW w:w="706" w:type="pct"/>
            <w:tcBorders>
              <w:top w:val="single" w:color="000000" w:sz="4" w:space="0"/>
              <w:left w:val="single" w:color="000000" w:sz="4" w:space="0"/>
              <w:bottom w:val="single" w:color="000000" w:sz="4" w:space="0"/>
              <w:right w:val="single" w:color="000000" w:sz="4" w:space="0"/>
            </w:tcBorders>
            <w:vAlign w:val="center"/>
          </w:tcPr>
          <w:p w14:paraId="4ACC871D">
            <w:pPr>
              <w:widowControl/>
              <w:spacing w:line="300" w:lineRule="auto"/>
              <w:jc w:val="center"/>
              <w:textAlignment w:val="center"/>
              <w:rPr>
                <w:rFonts w:ascii="宋体" w:hAnsi="宋体" w:cs="宋体"/>
                <w:color w:val="000000"/>
                <w:szCs w:val="21"/>
              </w:rPr>
            </w:pPr>
            <w:r>
              <w:rPr>
                <w:rFonts w:hint="eastAsia" w:ascii="宋体" w:hAnsi="宋体" w:cs="宋体"/>
                <w:color w:val="000000"/>
                <w:kern w:val="0"/>
                <w:sz w:val="21"/>
                <w:szCs w:val="21"/>
                <w:lang w:bidi="ar"/>
              </w:rPr>
              <w:t>3分</w:t>
            </w:r>
          </w:p>
        </w:tc>
        <w:tc>
          <w:tcPr>
            <w:tcW w:w="1997" w:type="pct"/>
            <w:tcBorders>
              <w:top w:val="single" w:color="000000" w:sz="4" w:space="0"/>
              <w:left w:val="single" w:color="000000" w:sz="4" w:space="0"/>
              <w:bottom w:val="single" w:color="000000" w:sz="4" w:space="0"/>
              <w:right w:val="single" w:color="000000" w:sz="4" w:space="0"/>
            </w:tcBorders>
            <w:vAlign w:val="center"/>
          </w:tcPr>
          <w:p w14:paraId="45EFC0A3">
            <w:pPr>
              <w:widowControl/>
              <w:spacing w:line="300" w:lineRule="auto"/>
              <w:jc w:val="both"/>
              <w:textAlignment w:val="top"/>
              <w:rPr>
                <w:rFonts w:ascii="宋体" w:hAnsi="宋体" w:cs="宋体"/>
                <w:color w:val="000000"/>
                <w:szCs w:val="21"/>
              </w:rPr>
            </w:pPr>
            <w:r>
              <w:rPr>
                <w:rFonts w:hint="eastAsia" w:ascii="宋体" w:hAnsi="宋体" w:cs="宋体"/>
                <w:color w:val="000000"/>
                <w:kern w:val="0"/>
                <w:sz w:val="21"/>
                <w:szCs w:val="21"/>
                <w:lang w:bidi="ar"/>
              </w:rPr>
              <w:t>熟悉3分，一般1分，不熟悉0分</w:t>
            </w:r>
          </w:p>
        </w:tc>
        <w:tc>
          <w:tcPr>
            <w:tcW w:w="421" w:type="pct"/>
            <w:tcBorders>
              <w:top w:val="single" w:color="000000" w:sz="4" w:space="0"/>
              <w:left w:val="single" w:color="000000" w:sz="4" w:space="0"/>
              <w:bottom w:val="single" w:color="000000" w:sz="4" w:space="0"/>
              <w:right w:val="single" w:color="000000" w:sz="4" w:space="0"/>
            </w:tcBorders>
            <w:noWrap/>
            <w:vAlign w:val="center"/>
          </w:tcPr>
          <w:p w14:paraId="6E0FC037">
            <w:pPr>
              <w:spacing w:line="300" w:lineRule="auto"/>
              <w:rPr>
                <w:rFonts w:ascii="宋体" w:hAnsi="宋体" w:cs="宋体"/>
                <w:color w:val="000000"/>
                <w:szCs w:val="21"/>
              </w:rPr>
            </w:pPr>
          </w:p>
        </w:tc>
      </w:tr>
      <w:tr w14:paraId="653518B5">
        <w:tblPrEx>
          <w:tblCellMar>
            <w:top w:w="0" w:type="dxa"/>
            <w:left w:w="108" w:type="dxa"/>
            <w:bottom w:w="0" w:type="dxa"/>
            <w:right w:w="108" w:type="dxa"/>
          </w:tblCellMar>
        </w:tblPrEx>
        <w:trPr>
          <w:trHeight w:val="960" w:hRule="atLeast"/>
        </w:trPr>
        <w:tc>
          <w:tcPr>
            <w:tcW w:w="920" w:type="pct"/>
            <w:vMerge w:val="continue"/>
            <w:tcBorders>
              <w:top w:val="single" w:color="000000" w:sz="4" w:space="0"/>
              <w:left w:val="single" w:color="000000" w:sz="4" w:space="0"/>
              <w:bottom w:val="single" w:color="000000" w:sz="4" w:space="0"/>
              <w:right w:val="single" w:color="000000" w:sz="4" w:space="0"/>
            </w:tcBorders>
            <w:vAlign w:val="center"/>
          </w:tcPr>
          <w:p w14:paraId="7FB64548">
            <w:pPr>
              <w:spacing w:line="300" w:lineRule="auto"/>
              <w:jc w:val="center"/>
              <w:rPr>
                <w:rFonts w:ascii="宋体" w:hAnsi="宋体" w:cs="宋体"/>
                <w:color w:val="000000"/>
                <w:szCs w:val="21"/>
              </w:rPr>
            </w:pPr>
          </w:p>
        </w:tc>
        <w:tc>
          <w:tcPr>
            <w:tcW w:w="957" w:type="pct"/>
            <w:tcBorders>
              <w:top w:val="single" w:color="000000" w:sz="4" w:space="0"/>
              <w:left w:val="single" w:color="000000" w:sz="4" w:space="0"/>
              <w:bottom w:val="single" w:color="000000" w:sz="4" w:space="0"/>
              <w:right w:val="single" w:color="000000" w:sz="4" w:space="0"/>
            </w:tcBorders>
            <w:vAlign w:val="center"/>
          </w:tcPr>
          <w:p w14:paraId="5E931261">
            <w:pPr>
              <w:widowControl/>
              <w:spacing w:line="300" w:lineRule="auto"/>
              <w:jc w:val="both"/>
              <w:textAlignment w:val="top"/>
              <w:rPr>
                <w:rFonts w:ascii="宋体" w:hAnsi="宋体" w:cs="宋体"/>
                <w:color w:val="000000"/>
                <w:szCs w:val="21"/>
              </w:rPr>
            </w:pPr>
            <w:r>
              <w:rPr>
                <w:rFonts w:hint="eastAsia" w:ascii="宋体" w:hAnsi="宋体" w:cs="宋体"/>
                <w:color w:val="000000"/>
                <w:kern w:val="0"/>
                <w:sz w:val="21"/>
                <w:szCs w:val="21"/>
                <w:lang w:bidi="ar"/>
              </w:rPr>
              <w:t>业务员处理问题的能力和态度</w:t>
            </w:r>
          </w:p>
        </w:tc>
        <w:tc>
          <w:tcPr>
            <w:tcW w:w="706" w:type="pct"/>
            <w:tcBorders>
              <w:top w:val="single" w:color="000000" w:sz="4" w:space="0"/>
              <w:left w:val="single" w:color="000000" w:sz="4" w:space="0"/>
              <w:bottom w:val="single" w:color="000000" w:sz="4" w:space="0"/>
              <w:right w:val="single" w:color="000000" w:sz="4" w:space="0"/>
            </w:tcBorders>
            <w:vAlign w:val="center"/>
          </w:tcPr>
          <w:p w14:paraId="069EB0F5">
            <w:pPr>
              <w:widowControl/>
              <w:spacing w:line="300" w:lineRule="auto"/>
              <w:jc w:val="center"/>
              <w:textAlignment w:val="center"/>
              <w:rPr>
                <w:rFonts w:ascii="宋体" w:hAnsi="宋体" w:cs="宋体"/>
                <w:color w:val="000000"/>
                <w:szCs w:val="21"/>
              </w:rPr>
            </w:pPr>
            <w:r>
              <w:rPr>
                <w:rFonts w:hint="eastAsia" w:ascii="宋体" w:hAnsi="宋体" w:cs="宋体"/>
                <w:color w:val="000000"/>
                <w:kern w:val="0"/>
                <w:sz w:val="21"/>
                <w:szCs w:val="21"/>
                <w:lang w:bidi="ar"/>
              </w:rPr>
              <w:t>5分</w:t>
            </w:r>
          </w:p>
        </w:tc>
        <w:tc>
          <w:tcPr>
            <w:tcW w:w="1997" w:type="pct"/>
            <w:tcBorders>
              <w:top w:val="single" w:color="000000" w:sz="4" w:space="0"/>
              <w:left w:val="single" w:color="000000" w:sz="4" w:space="0"/>
              <w:bottom w:val="single" w:color="000000" w:sz="4" w:space="0"/>
              <w:right w:val="single" w:color="000000" w:sz="4" w:space="0"/>
            </w:tcBorders>
            <w:vAlign w:val="center"/>
          </w:tcPr>
          <w:p w14:paraId="584F5DB0">
            <w:pPr>
              <w:widowControl/>
              <w:spacing w:line="300" w:lineRule="auto"/>
              <w:jc w:val="both"/>
              <w:textAlignment w:val="top"/>
              <w:rPr>
                <w:rFonts w:ascii="宋体" w:hAnsi="宋体" w:cs="宋体"/>
                <w:color w:val="000000"/>
                <w:szCs w:val="21"/>
              </w:rPr>
            </w:pPr>
            <w:r>
              <w:rPr>
                <w:rFonts w:hint="eastAsia" w:ascii="宋体" w:hAnsi="宋体" w:cs="宋体"/>
                <w:color w:val="000000"/>
                <w:kern w:val="0"/>
                <w:sz w:val="21"/>
                <w:szCs w:val="21"/>
                <w:lang w:bidi="ar"/>
              </w:rPr>
              <w:t>能够在1天内及时反馈处理方案，并有效解决问题，得5分；每延迟一日，无反馈结果，扣1分</w:t>
            </w:r>
          </w:p>
        </w:tc>
        <w:tc>
          <w:tcPr>
            <w:tcW w:w="421" w:type="pct"/>
            <w:tcBorders>
              <w:top w:val="single" w:color="000000" w:sz="4" w:space="0"/>
              <w:left w:val="single" w:color="000000" w:sz="4" w:space="0"/>
              <w:bottom w:val="single" w:color="000000" w:sz="4" w:space="0"/>
              <w:right w:val="single" w:color="000000" w:sz="4" w:space="0"/>
            </w:tcBorders>
            <w:noWrap/>
            <w:vAlign w:val="center"/>
          </w:tcPr>
          <w:p w14:paraId="7B71A3FC">
            <w:pPr>
              <w:spacing w:line="300" w:lineRule="auto"/>
              <w:rPr>
                <w:rFonts w:ascii="宋体" w:hAnsi="宋体" w:cs="宋体"/>
                <w:color w:val="000000"/>
                <w:szCs w:val="21"/>
              </w:rPr>
            </w:pPr>
          </w:p>
        </w:tc>
      </w:tr>
      <w:tr w14:paraId="21371597">
        <w:tblPrEx>
          <w:tblCellMar>
            <w:top w:w="0" w:type="dxa"/>
            <w:left w:w="108" w:type="dxa"/>
            <w:bottom w:w="0" w:type="dxa"/>
            <w:right w:w="108" w:type="dxa"/>
          </w:tblCellMar>
        </w:tblPrEx>
        <w:trPr>
          <w:trHeight w:val="270" w:hRule="atLeast"/>
        </w:trPr>
        <w:tc>
          <w:tcPr>
            <w:tcW w:w="920" w:type="pct"/>
            <w:tcBorders>
              <w:top w:val="single" w:color="000000" w:sz="4" w:space="0"/>
              <w:left w:val="single" w:color="000000" w:sz="4" w:space="0"/>
              <w:bottom w:val="single" w:color="000000" w:sz="4" w:space="0"/>
              <w:right w:val="single" w:color="000000" w:sz="4" w:space="0"/>
            </w:tcBorders>
            <w:noWrap/>
            <w:vAlign w:val="center"/>
          </w:tcPr>
          <w:p w14:paraId="7570CABA">
            <w:pPr>
              <w:widowControl/>
              <w:spacing w:line="300" w:lineRule="auto"/>
              <w:jc w:val="left"/>
              <w:textAlignment w:val="center"/>
              <w:rPr>
                <w:rFonts w:ascii="宋体" w:hAnsi="宋体" w:cs="宋体"/>
                <w:color w:val="000000"/>
                <w:szCs w:val="21"/>
              </w:rPr>
            </w:pPr>
            <w:r>
              <w:rPr>
                <w:rFonts w:hint="eastAsia" w:ascii="宋体" w:hAnsi="宋体" w:cs="宋体"/>
                <w:color w:val="000000"/>
                <w:kern w:val="0"/>
                <w:sz w:val="21"/>
                <w:szCs w:val="21"/>
                <w:lang w:bidi="ar"/>
              </w:rPr>
              <w:t>合计</w:t>
            </w:r>
          </w:p>
        </w:tc>
        <w:tc>
          <w:tcPr>
            <w:tcW w:w="957" w:type="pct"/>
            <w:tcBorders>
              <w:top w:val="single" w:color="000000" w:sz="4" w:space="0"/>
              <w:left w:val="single" w:color="000000" w:sz="4" w:space="0"/>
              <w:bottom w:val="single" w:color="000000" w:sz="4" w:space="0"/>
              <w:right w:val="single" w:color="000000" w:sz="4" w:space="0"/>
            </w:tcBorders>
            <w:noWrap/>
            <w:vAlign w:val="center"/>
          </w:tcPr>
          <w:p w14:paraId="41C976B1">
            <w:pPr>
              <w:spacing w:line="300" w:lineRule="auto"/>
              <w:jc w:val="both"/>
              <w:rPr>
                <w:rFonts w:ascii="宋体" w:hAnsi="宋体" w:cs="宋体"/>
                <w:color w:val="000000"/>
                <w:szCs w:val="21"/>
              </w:rPr>
            </w:pP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784415F2">
            <w:pPr>
              <w:widowControl/>
              <w:spacing w:line="300" w:lineRule="auto"/>
              <w:jc w:val="center"/>
              <w:textAlignment w:val="center"/>
              <w:rPr>
                <w:rFonts w:ascii="宋体" w:hAnsi="宋体" w:cs="宋体"/>
                <w:szCs w:val="21"/>
              </w:rPr>
            </w:pPr>
            <w:r>
              <w:rPr>
                <w:rFonts w:hint="eastAsia" w:ascii="宋体" w:hAnsi="宋体" w:cs="宋体"/>
                <w:kern w:val="0"/>
                <w:sz w:val="21"/>
                <w:szCs w:val="21"/>
                <w:lang w:bidi="ar"/>
              </w:rPr>
              <w:t>120分</w:t>
            </w:r>
          </w:p>
        </w:tc>
        <w:tc>
          <w:tcPr>
            <w:tcW w:w="1997" w:type="pct"/>
            <w:tcBorders>
              <w:top w:val="single" w:color="000000" w:sz="4" w:space="0"/>
              <w:left w:val="single" w:color="000000" w:sz="4" w:space="0"/>
              <w:bottom w:val="single" w:color="000000" w:sz="4" w:space="0"/>
              <w:right w:val="single" w:color="000000" w:sz="4" w:space="0"/>
            </w:tcBorders>
            <w:noWrap/>
            <w:vAlign w:val="center"/>
          </w:tcPr>
          <w:p w14:paraId="4B76F39C">
            <w:pPr>
              <w:spacing w:line="300" w:lineRule="auto"/>
              <w:jc w:val="both"/>
              <w:rPr>
                <w:rFonts w:ascii="宋体" w:hAnsi="宋体" w:cs="宋体"/>
                <w:color w:val="000000"/>
                <w:szCs w:val="21"/>
              </w:rPr>
            </w:pPr>
          </w:p>
        </w:tc>
        <w:tc>
          <w:tcPr>
            <w:tcW w:w="421" w:type="pct"/>
            <w:tcBorders>
              <w:top w:val="single" w:color="000000" w:sz="4" w:space="0"/>
              <w:left w:val="single" w:color="000000" w:sz="4" w:space="0"/>
              <w:bottom w:val="single" w:color="000000" w:sz="4" w:space="0"/>
              <w:right w:val="single" w:color="000000" w:sz="4" w:space="0"/>
            </w:tcBorders>
          </w:tcPr>
          <w:p w14:paraId="04BECC47">
            <w:pPr>
              <w:widowControl/>
              <w:spacing w:line="300" w:lineRule="auto"/>
              <w:jc w:val="left"/>
              <w:textAlignment w:val="top"/>
              <w:rPr>
                <w:rFonts w:ascii="宋体" w:hAnsi="宋体" w:cs="宋体"/>
                <w:color w:val="000000"/>
                <w:szCs w:val="21"/>
              </w:rPr>
            </w:pPr>
            <w:r>
              <w:rPr>
                <w:rFonts w:hint="eastAsia" w:ascii="宋体" w:hAnsi="宋体" w:cs="宋体"/>
                <w:color w:val="000000"/>
                <w:kern w:val="0"/>
                <w:sz w:val="21"/>
                <w:szCs w:val="21"/>
                <w:lang w:bidi="ar"/>
              </w:rPr>
              <w:t>总分</w:t>
            </w:r>
          </w:p>
        </w:tc>
      </w:tr>
      <w:tr w14:paraId="4EC35E03">
        <w:tblPrEx>
          <w:tblCellMar>
            <w:top w:w="0" w:type="dxa"/>
            <w:left w:w="108" w:type="dxa"/>
            <w:bottom w:w="0" w:type="dxa"/>
            <w:right w:w="108" w:type="dxa"/>
          </w:tblCellMar>
        </w:tblPrEx>
        <w:trPr>
          <w:trHeight w:val="760" w:hRule="atLeast"/>
        </w:trPr>
        <w:tc>
          <w:tcPr>
            <w:tcW w:w="5000" w:type="pct"/>
            <w:gridSpan w:val="5"/>
            <w:tcBorders>
              <w:top w:val="single" w:color="000000" w:sz="4" w:space="0"/>
              <w:left w:val="single" w:color="000000" w:sz="4" w:space="0"/>
              <w:bottom w:val="single" w:color="000000" w:sz="4" w:space="0"/>
              <w:right w:val="single" w:color="000000" w:sz="4" w:space="0"/>
            </w:tcBorders>
          </w:tcPr>
          <w:p w14:paraId="3437C3E0">
            <w:pPr>
              <w:widowControl/>
              <w:spacing w:line="300" w:lineRule="auto"/>
              <w:jc w:val="left"/>
              <w:textAlignment w:val="top"/>
              <w:rPr>
                <w:rFonts w:ascii="宋体" w:hAnsi="宋体" w:cs="宋体"/>
                <w:szCs w:val="21"/>
              </w:rPr>
            </w:pPr>
            <w:r>
              <w:rPr>
                <w:rFonts w:hint="eastAsia" w:ascii="宋体" w:hAnsi="宋体" w:cs="宋体"/>
                <w:kern w:val="0"/>
                <w:sz w:val="21"/>
                <w:szCs w:val="21"/>
                <w:lang w:bidi="ar"/>
              </w:rPr>
              <w:t>备注：每季度进行考核，总分为120分，114分及以上为优秀，108-114分为良好，102-108分为合格，96-102分为基本合格并警告，96分以下为不合格。</w:t>
            </w:r>
          </w:p>
        </w:tc>
      </w:tr>
    </w:tbl>
    <w:p w14:paraId="69AD9470">
      <w:pPr>
        <w:autoSpaceDE w:val="0"/>
        <w:autoSpaceDN w:val="0"/>
        <w:ind w:firstLine="422" w:firstLineChars="200"/>
        <w:rPr>
          <w:rFonts w:hint="eastAsia" w:ascii="宋体" w:hAnsi="宋体"/>
          <w:b/>
          <w:szCs w:val="24"/>
        </w:rPr>
      </w:pPr>
      <w:r>
        <w:rPr>
          <w:rFonts w:hint="eastAsia" w:ascii="宋体" w:hAnsi="宋体" w:cs="宋体"/>
          <w:b/>
          <w:sz w:val="21"/>
          <w:szCs w:val="21"/>
          <w:lang w:eastAsia="zh-Hans"/>
        </w:rPr>
        <w:t>★</w:t>
      </w:r>
      <w:r>
        <w:rPr>
          <w:rFonts w:ascii="宋体" w:hAnsi="宋体"/>
          <w:b/>
          <w:szCs w:val="24"/>
        </w:rPr>
        <w:t>（七）</w:t>
      </w:r>
      <w:r>
        <w:rPr>
          <w:rFonts w:hint="eastAsia" w:ascii="宋体" w:hAnsi="宋体"/>
          <w:b/>
          <w:szCs w:val="24"/>
        </w:rPr>
        <w:t>违约责任</w:t>
      </w:r>
    </w:p>
    <w:p w14:paraId="3FB1307D">
      <w:pPr>
        <w:autoSpaceDE w:val="0"/>
        <w:autoSpaceDN w:val="0"/>
        <w:ind w:firstLine="480" w:firstLineChars="200"/>
        <w:rPr>
          <w:rFonts w:hint="eastAsia" w:ascii="宋体" w:hAnsi="宋体"/>
          <w:szCs w:val="24"/>
        </w:rPr>
      </w:pPr>
      <w:bookmarkStart w:id="30" w:name="OLE_LINK100"/>
      <w:bookmarkStart w:id="31" w:name="OLE_LINK99"/>
      <w:r>
        <w:rPr>
          <w:rFonts w:hint="eastAsia" w:ascii="宋体" w:hAnsi="宋体"/>
          <w:szCs w:val="24"/>
        </w:rPr>
        <w:t xml:space="preserve">1.中标人在项目运营中需严格按照《中华人民共和国药品管理法》等相关法律法规及行业的各项规定，依法生产、经营。若出现违反法律法规的问题，由中标人承担全部责任。 </w:t>
      </w:r>
    </w:p>
    <w:p w14:paraId="0187CB92">
      <w:pPr>
        <w:autoSpaceDE w:val="0"/>
        <w:autoSpaceDN w:val="0"/>
        <w:ind w:firstLine="480" w:firstLineChars="200"/>
        <w:rPr>
          <w:rFonts w:hint="eastAsia" w:ascii="宋体" w:hAnsi="宋体"/>
          <w:szCs w:val="24"/>
        </w:rPr>
      </w:pPr>
      <w:r>
        <w:rPr>
          <w:rFonts w:hint="eastAsia" w:ascii="宋体" w:hAnsi="宋体"/>
          <w:szCs w:val="24"/>
        </w:rPr>
        <w:t xml:space="preserve">2.中标人提供的中药饮片不符合本项目合同约定和质量要求而中标人拒绝更换或未在采购人要求的时间内及时更换的，视为中标人违约，中标人应向采购人支付该批次中药饮片全部货款作为违约金，采购人有权临时变更供应商采购该批次中药饮片；如中标人拒绝更换或未及时更换累计发生三次以上（含三次），采购人有权单方面解除本项目合同而不提前通知中标人，同时采购人有权要求中标人承担由此产生的全部损失。 </w:t>
      </w:r>
    </w:p>
    <w:p w14:paraId="7F2151FD">
      <w:pPr>
        <w:autoSpaceDE w:val="0"/>
        <w:autoSpaceDN w:val="0"/>
        <w:ind w:firstLine="480" w:firstLineChars="200"/>
        <w:rPr>
          <w:rFonts w:hint="eastAsia" w:ascii="宋体" w:hAnsi="宋体"/>
          <w:szCs w:val="24"/>
        </w:rPr>
      </w:pPr>
      <w:r>
        <w:rPr>
          <w:rFonts w:hint="eastAsia" w:ascii="宋体" w:hAnsi="宋体"/>
          <w:szCs w:val="24"/>
        </w:rPr>
        <w:t xml:space="preserve">3.中标人提供的中药饮片供应及代煎代配服务，如产生医疗差错、医疗事故、纠纷或质量、安全等问题时，由中标人处理（调解、鉴定、诉讼等）负责并承担相应责任，如造成采购人损失的，由中标人承担赔偿责任，如情节严重造成不良后果时，采购人有权解除本项目合同。 </w:t>
      </w:r>
    </w:p>
    <w:p w14:paraId="693AD490">
      <w:pPr>
        <w:autoSpaceDE w:val="0"/>
        <w:autoSpaceDN w:val="0"/>
        <w:ind w:firstLine="480" w:firstLineChars="200"/>
        <w:rPr>
          <w:rFonts w:hint="eastAsia" w:ascii="宋体" w:hAnsi="宋体"/>
          <w:szCs w:val="24"/>
        </w:rPr>
      </w:pPr>
      <w:r>
        <w:rPr>
          <w:rFonts w:hint="eastAsia" w:ascii="宋体" w:hAnsi="宋体"/>
          <w:szCs w:val="24"/>
        </w:rPr>
        <w:t xml:space="preserve">4.在药品购销过程中，如出现以下情况，则为中标人违约，采购人可终止合同，中标人应向采购人支付违约金20万元，并承担相应损失赔偿责任： </w:t>
      </w:r>
    </w:p>
    <w:p w14:paraId="3AE95D11">
      <w:pPr>
        <w:autoSpaceDE w:val="0"/>
        <w:autoSpaceDN w:val="0"/>
        <w:ind w:firstLine="480" w:firstLineChars="200"/>
        <w:rPr>
          <w:rFonts w:hint="eastAsia" w:ascii="宋体" w:hAnsi="宋体"/>
          <w:szCs w:val="24"/>
        </w:rPr>
      </w:pPr>
      <w:r>
        <w:rPr>
          <w:rFonts w:hint="eastAsia" w:ascii="宋体" w:hAnsi="宋体"/>
          <w:szCs w:val="24"/>
        </w:rPr>
        <w:t xml:space="preserve">（1）中标人销售假、劣药品。 </w:t>
      </w:r>
    </w:p>
    <w:p w14:paraId="2C142C83">
      <w:pPr>
        <w:autoSpaceDE w:val="0"/>
        <w:autoSpaceDN w:val="0"/>
        <w:ind w:firstLine="480" w:firstLineChars="200"/>
        <w:rPr>
          <w:rFonts w:hint="eastAsia" w:ascii="宋体" w:hAnsi="宋体"/>
          <w:szCs w:val="24"/>
        </w:rPr>
      </w:pPr>
      <w:r>
        <w:rPr>
          <w:rFonts w:hint="eastAsia" w:ascii="宋体" w:hAnsi="宋体"/>
          <w:szCs w:val="24"/>
        </w:rPr>
        <w:t>（2）中标人所配送饮片、药液在药监局抽检中被查出存在2批及以上伪品或3批及以上劣药时。</w:t>
      </w:r>
    </w:p>
    <w:p w14:paraId="63B4E760">
      <w:pPr>
        <w:autoSpaceDE w:val="0"/>
        <w:autoSpaceDN w:val="0"/>
        <w:ind w:firstLine="480" w:firstLineChars="200"/>
        <w:rPr>
          <w:rFonts w:hint="eastAsia" w:ascii="宋体" w:hAnsi="宋体"/>
          <w:szCs w:val="24"/>
        </w:rPr>
      </w:pPr>
      <w:r>
        <w:rPr>
          <w:rFonts w:hint="eastAsia" w:ascii="宋体" w:hAnsi="宋体"/>
          <w:szCs w:val="24"/>
        </w:rPr>
        <w:t xml:space="preserve"> 5.本项目合同下的所有违约金以及损失赔偿款等，采购人均有权从应支付的中药饮片或煎药费用款项中直接扣除，同时采购人有权根据本项目合同的相关约定向中标人提出不足部分的赔偿。 </w:t>
      </w:r>
    </w:p>
    <w:p w14:paraId="494FC12A">
      <w:pPr>
        <w:autoSpaceDE w:val="0"/>
        <w:autoSpaceDN w:val="0"/>
        <w:ind w:firstLine="480" w:firstLineChars="200"/>
        <w:rPr>
          <w:rFonts w:hint="eastAsia" w:ascii="宋体" w:hAnsi="宋体"/>
          <w:szCs w:val="24"/>
        </w:rPr>
      </w:pPr>
      <w:r>
        <w:rPr>
          <w:rFonts w:hint="eastAsia" w:ascii="宋体" w:hAnsi="宋体"/>
          <w:szCs w:val="24"/>
        </w:rPr>
        <w:t xml:space="preserve">6.中标人应保证向采购人提供的增值税发票真实、完整、有效且符合国家相关法律法规的要求，不得向采购人提供其他单位代开的增值税发票；一旦发现中标人存在增值税发票造假，采购人将立即解除本项目合同且不再向中标人支付任何款项，同时全面清查中标人所提供的所有增值税发票，并向中标人追究由此给采购人造成的一切损失。 </w:t>
      </w:r>
    </w:p>
    <w:p w14:paraId="13BC6AEA">
      <w:pPr>
        <w:autoSpaceDE w:val="0"/>
        <w:autoSpaceDN w:val="0"/>
        <w:ind w:firstLine="480" w:firstLineChars="200"/>
        <w:rPr>
          <w:rFonts w:hint="eastAsia" w:ascii="宋体" w:hAnsi="宋体"/>
          <w:szCs w:val="24"/>
        </w:rPr>
      </w:pPr>
      <w:r>
        <w:rPr>
          <w:rFonts w:hint="eastAsia" w:ascii="宋体" w:hAnsi="宋体"/>
          <w:szCs w:val="24"/>
        </w:rPr>
        <w:t xml:space="preserve">7.中标人未能向采购人完整提供各类营业证件，或向采购人所提供的文件被证实不真实（如伪造、变造），采购人有权立即解除本项目合同且不再向中标人支付任何款项，同时中标人必须全额承担由此给采购人造成的一切损失。 </w:t>
      </w:r>
    </w:p>
    <w:p w14:paraId="2B1521A2">
      <w:pPr>
        <w:autoSpaceDE w:val="0"/>
        <w:autoSpaceDN w:val="0"/>
        <w:ind w:firstLine="480" w:firstLineChars="200"/>
        <w:rPr>
          <w:rFonts w:hint="eastAsia" w:ascii="宋体" w:hAnsi="宋体"/>
          <w:szCs w:val="24"/>
        </w:rPr>
      </w:pPr>
      <w:r>
        <w:rPr>
          <w:rFonts w:hint="eastAsia" w:ascii="宋体" w:hAnsi="宋体"/>
          <w:szCs w:val="24"/>
        </w:rPr>
        <w:t xml:space="preserve">8.本项目合同约定的违约金如不足以赔偿守约方因违约方的违约行为而遭受的损失的，违约方还应当赔偿守约方的损失，包括但不限于律师费、财产保全费、诉讼费等费用（除非另有特别说明，本项目合同下的“损失”均作此解释）。 </w:t>
      </w:r>
    </w:p>
    <w:p w14:paraId="779F60C4">
      <w:pPr>
        <w:autoSpaceDE w:val="0"/>
        <w:autoSpaceDN w:val="0"/>
        <w:ind w:firstLine="480" w:firstLineChars="200"/>
        <w:rPr>
          <w:rFonts w:hint="eastAsia" w:ascii="宋体" w:hAnsi="宋体"/>
          <w:szCs w:val="24"/>
        </w:rPr>
      </w:pPr>
      <w:r>
        <w:rPr>
          <w:rFonts w:hint="eastAsia" w:ascii="宋体" w:hAnsi="宋体"/>
          <w:szCs w:val="24"/>
        </w:rPr>
        <w:t xml:space="preserve">9.在合同的履约过程中，如发现中标人存在采用各种违法及不正当手段获得合同标的的（包括但不限于利用关联关系、行贿、串通投标、弄虚作假等），中标人承担违约责任，中标人应向采购人支付1.5年合同款项总额20%的违约金，并承担由此给采购人造成的损失的赔偿责任；同时，采购人有权终止合同。 </w:t>
      </w:r>
    </w:p>
    <w:p w14:paraId="03A70F46">
      <w:pPr>
        <w:autoSpaceDE w:val="0"/>
        <w:autoSpaceDN w:val="0"/>
        <w:ind w:firstLine="480" w:firstLineChars="200"/>
        <w:rPr>
          <w:rFonts w:hint="eastAsia" w:ascii="宋体" w:hAnsi="宋体"/>
          <w:szCs w:val="24"/>
        </w:rPr>
      </w:pPr>
      <w:r>
        <w:rPr>
          <w:rFonts w:hint="eastAsia" w:ascii="宋体" w:hAnsi="宋体"/>
          <w:szCs w:val="24"/>
        </w:rPr>
        <w:t>10.其他违约责任按《中华人民共和国民法典》处理。</w:t>
      </w:r>
      <w:bookmarkEnd w:id="30"/>
      <w:bookmarkEnd w:id="31"/>
    </w:p>
    <w:p w14:paraId="16384990"/>
    <w:sectPr>
      <w:pgSz w:w="11906" w:h="16838"/>
      <w:pgMar w:top="1440" w:right="986"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784780"/>
    <w:multiLevelType w:val="multilevel"/>
    <w:tmpl w:val="71784780"/>
    <w:lvl w:ilvl="0" w:tentative="0">
      <w:start w:val="1"/>
      <w:numFmt w:val="japaneseCounting"/>
      <w:lvlText w:val="%1、"/>
      <w:lvlJc w:val="left"/>
      <w:pPr>
        <w:ind w:left="3257" w:hanging="705"/>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Sy">
    <w15:presenceInfo w15:providerId="WPS Office" w15:userId="36420751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231"/>
    <w:rsid w:val="0006133A"/>
    <w:rsid w:val="000F00A0"/>
    <w:rsid w:val="003E61ED"/>
    <w:rsid w:val="007D172E"/>
    <w:rsid w:val="00972231"/>
    <w:rsid w:val="00B035C4"/>
    <w:rsid w:val="00E91769"/>
    <w:rsid w:val="04461F7D"/>
    <w:rsid w:val="0C5A3DF2"/>
    <w:rsid w:val="0EB44B3E"/>
    <w:rsid w:val="11856215"/>
    <w:rsid w:val="236552A2"/>
    <w:rsid w:val="30A43A04"/>
    <w:rsid w:val="45CD0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val="0"/>
      <w:spacing w:line="360" w:lineRule="auto"/>
      <w:jc w:val="both"/>
    </w:pPr>
    <w:rPr>
      <w:rFonts w:ascii="Calibri" w:hAnsi="Calibri" w:eastAsia="宋体" w:cs="Calibri"/>
      <w:kern w:val="2"/>
      <w:sz w:val="24"/>
      <w:szCs w:val="22"/>
      <w:lang w:val="en-US" w:eastAsia="zh-CN" w:bidi="ar-SA"/>
    </w:rPr>
  </w:style>
  <w:style w:type="paragraph" w:styleId="3">
    <w:name w:val="heading 2"/>
    <w:basedOn w:val="1"/>
    <w:next w:val="1"/>
    <w:link w:val="14"/>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6"/>
    <w:semiHidden/>
    <w:unhideWhenUsed/>
    <w:qFormat/>
    <w:uiPriority w:val="99"/>
    <w:pPr>
      <w:spacing w:after="120"/>
    </w:pPr>
  </w:style>
  <w:style w:type="paragraph" w:styleId="4">
    <w:name w:val="annotation text"/>
    <w:basedOn w:val="1"/>
    <w:link w:val="15"/>
    <w:unhideWhenUsed/>
    <w:qFormat/>
    <w:uiPriority w:val="99"/>
    <w:pPr>
      <w:jc w:val="left"/>
    </w:pPr>
  </w:style>
  <w:style w:type="paragraph" w:styleId="5">
    <w:name w:val="Balloon Text"/>
    <w:basedOn w:val="1"/>
    <w:link w:val="18"/>
    <w:semiHidden/>
    <w:unhideWhenUsed/>
    <w:qFormat/>
    <w:uiPriority w:val="99"/>
    <w:pPr>
      <w:spacing w:line="240" w:lineRule="auto"/>
    </w:pPr>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9"/>
    <w:semiHidden/>
    <w:unhideWhenUsed/>
    <w:qFormat/>
    <w:uiPriority w:val="99"/>
    <w:rPr>
      <w:b/>
      <w:bCs/>
    </w:rPr>
  </w:style>
  <w:style w:type="character" w:styleId="11">
    <w:name w:val="annotation reference"/>
    <w:unhideWhenUsed/>
    <w:qFormat/>
    <w:uiPriority w:val="99"/>
    <w:rPr>
      <w:sz w:val="21"/>
      <w:szCs w:val="21"/>
    </w:rPr>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 w:type="character" w:customStyle="1" w:styleId="14">
    <w:name w:val="标题 2 Char"/>
    <w:basedOn w:val="10"/>
    <w:link w:val="3"/>
    <w:qFormat/>
    <w:uiPriority w:val="9"/>
    <w:rPr>
      <w:rFonts w:ascii="Cambria" w:hAnsi="Cambria" w:eastAsia="宋体" w:cs="Calibri"/>
      <w:b/>
      <w:bCs/>
      <w:sz w:val="32"/>
      <w:szCs w:val="32"/>
    </w:rPr>
  </w:style>
  <w:style w:type="character" w:customStyle="1" w:styleId="15">
    <w:name w:val="批注文字 Char"/>
    <w:basedOn w:val="10"/>
    <w:link w:val="4"/>
    <w:qFormat/>
    <w:uiPriority w:val="99"/>
    <w:rPr>
      <w:rFonts w:ascii="Calibri" w:hAnsi="Calibri" w:eastAsia="宋体" w:cs="Calibri"/>
      <w:sz w:val="24"/>
    </w:rPr>
  </w:style>
  <w:style w:type="character" w:customStyle="1" w:styleId="16">
    <w:name w:val="正文文本 Char"/>
    <w:basedOn w:val="10"/>
    <w:link w:val="2"/>
    <w:semiHidden/>
    <w:qFormat/>
    <w:uiPriority w:val="99"/>
    <w:rPr>
      <w:rFonts w:ascii="Calibri" w:hAnsi="Calibri" w:eastAsia="宋体" w:cs="Calibri"/>
      <w:sz w:val="24"/>
    </w:rPr>
  </w:style>
  <w:style w:type="paragraph" w:customStyle="1" w:styleId="17">
    <w:name w:val="Revision"/>
    <w:hidden/>
    <w:semiHidden/>
    <w:qFormat/>
    <w:uiPriority w:val="99"/>
    <w:rPr>
      <w:rFonts w:ascii="Calibri" w:hAnsi="Calibri" w:eastAsia="宋体" w:cs="Calibri"/>
      <w:kern w:val="2"/>
      <w:sz w:val="24"/>
      <w:szCs w:val="22"/>
      <w:lang w:val="en-US" w:eastAsia="zh-CN" w:bidi="ar-SA"/>
    </w:rPr>
  </w:style>
  <w:style w:type="character" w:customStyle="1" w:styleId="18">
    <w:name w:val="批注框文本 Char"/>
    <w:basedOn w:val="10"/>
    <w:link w:val="5"/>
    <w:semiHidden/>
    <w:qFormat/>
    <w:uiPriority w:val="99"/>
    <w:rPr>
      <w:rFonts w:ascii="Calibri" w:hAnsi="Calibri" w:eastAsia="宋体" w:cs="Calibri"/>
      <w:sz w:val="18"/>
      <w:szCs w:val="18"/>
    </w:rPr>
  </w:style>
  <w:style w:type="character" w:customStyle="1" w:styleId="19">
    <w:name w:val="批注主题 Char"/>
    <w:basedOn w:val="15"/>
    <w:link w:val="8"/>
    <w:semiHidden/>
    <w:qFormat/>
    <w:uiPriority w:val="99"/>
    <w:rPr>
      <w:rFonts w:ascii="Calibri" w:hAnsi="Calibri" w:eastAsia="宋体" w:cs="Calibri"/>
      <w:b/>
      <w:bCs/>
      <w:sz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6482</Words>
  <Characters>6869</Characters>
  <Lines>90</Lines>
  <Paragraphs>25</Paragraphs>
  <TotalTime>36</TotalTime>
  <ScaleCrop>false</ScaleCrop>
  <LinksUpToDate>false</LinksUpToDate>
  <CharactersWithSpaces>6889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2025-09-05T09:54:00Z</dcterms:created>
  <dc:creator>陈骏</dc:creator>
  <cp:lastModifiedBy>YSy</cp:lastModifiedBy>
  <dcterms:modified xsi:type="dcterms:W3CDTF">2025-09-15T03:30:59Z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eyJoZGlkIjoiMzdjNWNhODAzYWQwMzZkNzdhZTcyMjY0YzUzNDE3ZjkiLCJ1c2VySWQiOiIxMTY0NDQ3NDQwIn0=</vt:lpwstr>
  </property>
  <property fmtid="{D5CDD505-2E9C-101B-9397-08002B2CF9AE}" pid="3" name="KSOProductBuildVer">
    <vt:lpwstr>2052-12.1.0.22529</vt:lpwstr>
  </property>
  <property fmtid="{D5CDD505-2E9C-101B-9397-08002B2CF9AE}" pid="4" name="ICV">
    <vt:lpwstr>07A043CF9FD24029893F49DAD899DA08_12</vt:lpwstr>
  </property>
</Properties>
</file>